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55722" w14:textId="1496C291" w:rsidR="00A47EB2" w:rsidRDefault="0020428C" w:rsidP="00A36C16">
      <w:pPr>
        <w:autoSpaceDE w:val="0"/>
        <w:autoSpaceDN w:val="0"/>
        <w:adjustRightInd w:val="0"/>
        <w:ind w:right="-7"/>
        <w:jc w:val="center"/>
        <w:rPr>
          <w:b/>
          <w:bCs/>
          <w:color w:val="000000"/>
          <w:sz w:val="28"/>
          <w:szCs w:val="28"/>
          <w:lang w:val="id-ID"/>
        </w:rPr>
      </w:pPr>
      <w:r>
        <w:rPr>
          <w:b/>
          <w:bCs/>
          <w:color w:val="000000"/>
          <w:sz w:val="28"/>
          <w:szCs w:val="28"/>
        </w:rPr>
        <w:t>MACROECONOMICS AS DETERMINANTS OF THE MONEY SUPPLY IN INDONESIAN 1993-2022: ECM MODELS ANALYSIS</w:t>
      </w:r>
    </w:p>
    <w:p w14:paraId="40BC7A16" w14:textId="77777777" w:rsidR="00EB1B57" w:rsidRPr="00DE30C9" w:rsidRDefault="00EB1B57" w:rsidP="00A36C16">
      <w:pPr>
        <w:autoSpaceDE w:val="0"/>
        <w:autoSpaceDN w:val="0"/>
        <w:adjustRightInd w:val="0"/>
        <w:ind w:right="-7"/>
        <w:jc w:val="center"/>
        <w:rPr>
          <w:b/>
          <w:bCs/>
          <w:color w:val="000000"/>
          <w:sz w:val="28"/>
          <w:szCs w:val="28"/>
          <w:lang w:val="id-ID"/>
        </w:rPr>
      </w:pPr>
    </w:p>
    <w:p w14:paraId="52881B3A" w14:textId="123C39CC" w:rsidR="001C6A10" w:rsidRDefault="00172D15" w:rsidP="00AB5F84">
      <w:pPr>
        <w:autoSpaceDE w:val="0"/>
        <w:autoSpaceDN w:val="0"/>
        <w:adjustRightInd w:val="0"/>
        <w:ind w:right="-7"/>
        <w:jc w:val="center"/>
        <w:rPr>
          <w:i/>
          <w:iCs/>
          <w:color w:val="000000"/>
          <w:sz w:val="22"/>
          <w:szCs w:val="22"/>
        </w:rPr>
      </w:pPr>
      <w:r w:rsidRPr="00DE30C9">
        <w:rPr>
          <w:b/>
          <w:bCs/>
          <w:i/>
          <w:iCs/>
          <w:color w:val="000000"/>
          <w:sz w:val="22"/>
          <w:szCs w:val="22"/>
          <w:vertAlign w:val="superscript"/>
          <w:lang w:val="id-ID"/>
        </w:rPr>
        <w:t>1</w:t>
      </w:r>
      <w:r w:rsidR="00A47EB2" w:rsidRPr="00DE30C9">
        <w:rPr>
          <w:b/>
          <w:bCs/>
          <w:i/>
          <w:iCs/>
          <w:color w:val="000000"/>
          <w:sz w:val="22"/>
          <w:szCs w:val="22"/>
        </w:rPr>
        <w:t>N</w:t>
      </w:r>
      <w:r w:rsidR="0020428C" w:rsidRPr="00DE30C9">
        <w:rPr>
          <w:b/>
          <w:bCs/>
          <w:i/>
          <w:iCs/>
          <w:color w:val="000000"/>
          <w:sz w:val="22"/>
          <w:szCs w:val="22"/>
        </w:rPr>
        <w:t xml:space="preserve">esha Rizky Ashari, </w:t>
      </w:r>
      <w:r w:rsidR="0020428C" w:rsidRPr="00DE30C9">
        <w:rPr>
          <w:b/>
          <w:bCs/>
          <w:i/>
          <w:iCs/>
          <w:color w:val="000000"/>
          <w:sz w:val="22"/>
          <w:szCs w:val="22"/>
          <w:vertAlign w:val="superscript"/>
        </w:rPr>
        <w:t>2</w:t>
      </w:r>
      <w:r w:rsidR="0020428C" w:rsidRPr="00DE30C9">
        <w:rPr>
          <w:b/>
          <w:bCs/>
          <w:i/>
          <w:iCs/>
          <w:color w:val="000000"/>
          <w:sz w:val="22"/>
          <w:szCs w:val="22"/>
        </w:rPr>
        <w:t>Riska Prasasti</w:t>
      </w:r>
      <w:r w:rsidR="0015099D">
        <w:rPr>
          <w:b/>
          <w:bCs/>
          <w:i/>
          <w:iCs/>
          <w:color w:val="000000"/>
          <w:sz w:val="22"/>
          <w:szCs w:val="22"/>
        </w:rPr>
        <w:t>,</w:t>
      </w:r>
      <w:r w:rsidR="0015099D">
        <w:rPr>
          <w:b/>
          <w:bCs/>
          <w:i/>
          <w:iCs/>
          <w:color w:val="000000"/>
          <w:sz w:val="22"/>
          <w:szCs w:val="22"/>
          <w:vertAlign w:val="superscript"/>
        </w:rPr>
        <w:t>3</w:t>
      </w:r>
      <w:r w:rsidR="0015099D">
        <w:rPr>
          <w:b/>
          <w:bCs/>
          <w:i/>
          <w:iCs/>
          <w:color w:val="000000"/>
          <w:sz w:val="22"/>
          <w:szCs w:val="22"/>
        </w:rPr>
        <w:t>Akhsyim Afandi</w:t>
      </w:r>
    </w:p>
    <w:p w14:paraId="137BC39C" w14:textId="41674816" w:rsidR="00A47EB2" w:rsidRDefault="00AB5F84" w:rsidP="0015099D">
      <w:pPr>
        <w:tabs>
          <w:tab w:val="left" w:pos="2160"/>
        </w:tabs>
        <w:suppressAutoHyphens/>
        <w:jc w:val="center"/>
        <w:rPr>
          <w:rFonts w:cstheme="majorBidi"/>
          <w:bCs/>
          <w:color w:val="000000"/>
          <w:sz w:val="20"/>
        </w:rPr>
      </w:pPr>
      <w:r>
        <w:rPr>
          <w:i/>
          <w:iCs/>
          <w:color w:val="000000"/>
          <w:sz w:val="22"/>
          <w:szCs w:val="22"/>
          <w:vertAlign w:val="superscript"/>
        </w:rPr>
        <w:t xml:space="preserve">1,2 </w:t>
      </w:r>
      <w:r w:rsidR="00E969CA">
        <w:rPr>
          <w:rFonts w:cstheme="majorBidi"/>
          <w:bCs/>
          <w:color w:val="000000"/>
          <w:sz w:val="20"/>
        </w:rPr>
        <w:t xml:space="preserve">Faculty of Islamic Economics and Business, Sunan </w:t>
      </w:r>
      <w:proofErr w:type="spellStart"/>
      <w:r w:rsidR="00E969CA">
        <w:rPr>
          <w:rFonts w:cstheme="majorBidi"/>
          <w:bCs/>
          <w:color w:val="000000"/>
          <w:sz w:val="20"/>
        </w:rPr>
        <w:t>Kalijaga</w:t>
      </w:r>
      <w:proofErr w:type="spellEnd"/>
      <w:r w:rsidR="00E969CA">
        <w:rPr>
          <w:rFonts w:cstheme="majorBidi"/>
          <w:bCs/>
          <w:color w:val="000000"/>
          <w:sz w:val="20"/>
        </w:rPr>
        <w:t xml:space="preserve"> State Islamic University, Yogyakarta</w:t>
      </w:r>
    </w:p>
    <w:p w14:paraId="337FE94A" w14:textId="05D37AF2" w:rsidR="0015099D" w:rsidRPr="0015099D" w:rsidRDefault="0015099D" w:rsidP="0023052E">
      <w:pPr>
        <w:tabs>
          <w:tab w:val="left" w:pos="2160"/>
        </w:tabs>
        <w:suppressAutoHyphens/>
        <w:jc w:val="center"/>
        <w:rPr>
          <w:rFonts w:cstheme="majorBidi"/>
          <w:bCs/>
          <w:color w:val="000000"/>
          <w:sz w:val="20"/>
        </w:rPr>
      </w:pPr>
      <w:r w:rsidRPr="0015099D">
        <w:rPr>
          <w:rFonts w:cstheme="majorBidi"/>
          <w:bCs/>
          <w:i/>
          <w:iCs/>
          <w:color w:val="000000"/>
          <w:sz w:val="20"/>
          <w:vertAlign w:val="superscript"/>
        </w:rPr>
        <w:t>3</w:t>
      </w:r>
      <w:r>
        <w:rPr>
          <w:rFonts w:cstheme="majorBidi"/>
          <w:bCs/>
          <w:color w:val="000000"/>
          <w:sz w:val="20"/>
          <w:vertAlign w:val="superscript"/>
        </w:rPr>
        <w:t xml:space="preserve"> </w:t>
      </w:r>
      <w:r w:rsidR="00E969CA">
        <w:rPr>
          <w:rFonts w:cstheme="majorBidi"/>
          <w:bCs/>
          <w:color w:val="000000"/>
          <w:sz w:val="20"/>
        </w:rPr>
        <w:t>Faculty of Economics and Business, Islamic University of Indonesia, Yogyakarta</w:t>
      </w:r>
    </w:p>
    <w:p w14:paraId="0E0C023B" w14:textId="6D6AE074" w:rsidR="001C6A10" w:rsidRPr="0015099D" w:rsidRDefault="00AB5F84" w:rsidP="00A36C16">
      <w:pPr>
        <w:autoSpaceDE w:val="0"/>
        <w:autoSpaceDN w:val="0"/>
        <w:adjustRightInd w:val="0"/>
        <w:ind w:right="-7"/>
        <w:jc w:val="center"/>
        <w:rPr>
          <w:color w:val="000000"/>
          <w:sz w:val="22"/>
          <w:szCs w:val="22"/>
        </w:rPr>
      </w:pPr>
      <w:r>
        <w:rPr>
          <w:color w:val="000000"/>
          <w:sz w:val="22"/>
          <w:szCs w:val="22"/>
        </w:rPr>
        <w:t xml:space="preserve">Email: </w:t>
      </w:r>
      <w:hyperlink r:id="rId8" w:history="1">
        <w:r w:rsidR="0016403B" w:rsidRPr="00AA10A8">
          <w:rPr>
            <w:rStyle w:val="Hyperlink"/>
            <w:sz w:val="22"/>
            <w:szCs w:val="22"/>
            <w:vertAlign w:val="superscript"/>
          </w:rPr>
          <w:t>1</w:t>
        </w:r>
        <w:r w:rsidR="0016403B" w:rsidRPr="00AA10A8">
          <w:rPr>
            <w:rStyle w:val="Hyperlink"/>
            <w:sz w:val="22"/>
            <w:szCs w:val="22"/>
          </w:rPr>
          <w:t>nesharizkyashari16@gmail.com</w:t>
        </w:r>
      </w:hyperlink>
      <w:r w:rsidR="0016403B">
        <w:rPr>
          <w:color w:val="000000"/>
          <w:sz w:val="22"/>
          <w:szCs w:val="22"/>
        </w:rPr>
        <w:t xml:space="preserve">, </w:t>
      </w:r>
      <w:hyperlink r:id="rId9" w:history="1">
        <w:r w:rsidR="002D7769" w:rsidRPr="00AA10A8">
          <w:rPr>
            <w:rStyle w:val="Hyperlink"/>
            <w:sz w:val="22"/>
            <w:szCs w:val="22"/>
            <w:vertAlign w:val="superscript"/>
          </w:rPr>
          <w:t>2</w:t>
        </w:r>
        <w:r w:rsidR="002D7769" w:rsidRPr="00AA10A8">
          <w:rPr>
            <w:rStyle w:val="Hyperlink"/>
            <w:sz w:val="22"/>
            <w:szCs w:val="22"/>
          </w:rPr>
          <w:t>riskaqtp@gmail.com</w:t>
        </w:r>
      </w:hyperlink>
      <w:r w:rsidR="0015099D">
        <w:rPr>
          <w:color w:val="000000"/>
          <w:sz w:val="22"/>
          <w:szCs w:val="22"/>
        </w:rPr>
        <w:t xml:space="preserve">. </w:t>
      </w:r>
      <w:hyperlink r:id="rId10" w:history="1">
        <w:r w:rsidR="0015099D" w:rsidRPr="00282484">
          <w:rPr>
            <w:rStyle w:val="Hyperlink"/>
            <w:sz w:val="22"/>
            <w:szCs w:val="22"/>
            <w:vertAlign w:val="superscript"/>
          </w:rPr>
          <w:t>3</w:t>
        </w:r>
        <w:r w:rsidR="0015099D" w:rsidRPr="00282484">
          <w:rPr>
            <w:rStyle w:val="Hyperlink"/>
            <w:sz w:val="22"/>
            <w:szCs w:val="22"/>
          </w:rPr>
          <w:t>akhsyim@uii.ac.id</w:t>
        </w:r>
      </w:hyperlink>
      <w:r w:rsidR="0015099D">
        <w:rPr>
          <w:color w:val="000000"/>
          <w:sz w:val="22"/>
          <w:szCs w:val="22"/>
        </w:rPr>
        <w:t xml:space="preserve"> </w:t>
      </w:r>
    </w:p>
    <w:p w14:paraId="7DBE3AA4" w14:textId="69E3CA8C" w:rsidR="00826574" w:rsidRPr="00C2184C" w:rsidRDefault="00191B4D" w:rsidP="00A36C16">
      <w:pPr>
        <w:autoSpaceDE w:val="0"/>
        <w:autoSpaceDN w:val="0"/>
        <w:adjustRightInd w:val="0"/>
        <w:ind w:right="-7"/>
        <w:jc w:val="center"/>
        <w:rPr>
          <w:color w:val="000000"/>
          <w:sz w:val="22"/>
          <w:szCs w:val="22"/>
          <w:lang w:val="fi-FI"/>
        </w:rPr>
      </w:pPr>
      <w:r>
        <w:rPr>
          <w:i/>
          <w:iCs/>
          <w:sz w:val="22"/>
          <w:szCs w:val="22"/>
        </w:rPr>
        <w:t>*</w:t>
      </w:r>
      <w:r w:rsidR="00C2184C" w:rsidRPr="00C2184C">
        <w:rPr>
          <w:i/>
          <w:iCs/>
          <w:sz w:val="22"/>
          <w:szCs w:val="22"/>
        </w:rPr>
        <w:t>Corresponding author</w:t>
      </w:r>
      <w:r w:rsidR="0016403B">
        <w:rPr>
          <w:i/>
          <w:iCs/>
          <w:sz w:val="22"/>
          <w:szCs w:val="22"/>
        </w:rPr>
        <w:t xml:space="preserve">: </w:t>
      </w:r>
      <w:hyperlink r:id="rId11" w:history="1">
        <w:r w:rsidR="0016403B" w:rsidRPr="00AA10A8">
          <w:rPr>
            <w:rStyle w:val="Hyperlink"/>
            <w:i/>
            <w:iCs/>
            <w:sz w:val="22"/>
            <w:szCs w:val="22"/>
          </w:rPr>
          <w:t>nesharizkyashari16@gmail.com</w:t>
        </w:r>
      </w:hyperlink>
      <w:r w:rsidR="0016403B">
        <w:rPr>
          <w:i/>
          <w:iCs/>
          <w:sz w:val="22"/>
          <w:szCs w:val="22"/>
        </w:rPr>
        <w:t xml:space="preserve"> </w:t>
      </w:r>
    </w:p>
    <w:p w14:paraId="2A3778D0" w14:textId="77777777" w:rsidR="00667D9B" w:rsidRPr="00A47EB2" w:rsidRDefault="00667D9B" w:rsidP="00595914">
      <w:pPr>
        <w:autoSpaceDE w:val="0"/>
        <w:autoSpaceDN w:val="0"/>
        <w:adjustRightInd w:val="0"/>
        <w:ind w:right="-7"/>
        <w:rPr>
          <w:color w:val="000000"/>
          <w:lang w:val="fi-FI"/>
        </w:rPr>
      </w:pPr>
    </w:p>
    <w:p w14:paraId="7E9CC2EA" w14:textId="2B298F14" w:rsidR="00D8233D" w:rsidRPr="00D347ED" w:rsidRDefault="00A47EB2" w:rsidP="00D347ED">
      <w:pPr>
        <w:autoSpaceDE w:val="0"/>
        <w:autoSpaceDN w:val="0"/>
        <w:adjustRightInd w:val="0"/>
        <w:ind w:right="-7"/>
        <w:jc w:val="center"/>
        <w:rPr>
          <w:color w:val="000000"/>
          <w:sz w:val="22"/>
          <w:szCs w:val="22"/>
          <w:lang w:val="fi-FI"/>
        </w:rPr>
      </w:pPr>
      <w:r w:rsidRPr="00A47EB2">
        <w:rPr>
          <w:b/>
          <w:bCs/>
          <w:color w:val="000000"/>
          <w:sz w:val="22"/>
          <w:szCs w:val="22"/>
          <w:lang w:val="fi-FI"/>
        </w:rPr>
        <w:t>A</w:t>
      </w:r>
      <w:r>
        <w:rPr>
          <w:b/>
          <w:bCs/>
          <w:color w:val="000000"/>
          <w:sz w:val="22"/>
          <w:szCs w:val="22"/>
          <w:lang w:val="fi-FI"/>
        </w:rPr>
        <w:t>bstrak</w:t>
      </w:r>
      <w:r w:rsidRPr="00A47EB2">
        <w:rPr>
          <w:b/>
          <w:bCs/>
          <w:color w:val="000000"/>
          <w:sz w:val="22"/>
          <w:szCs w:val="22"/>
          <w:lang w:val="fi-FI"/>
        </w:rPr>
        <w:t xml:space="preserve"> </w:t>
      </w:r>
    </w:p>
    <w:p w14:paraId="35ED545F" w14:textId="77777777" w:rsidR="002B50C1" w:rsidRPr="00A0032A" w:rsidRDefault="002B50C1" w:rsidP="002B50C1">
      <w:pPr>
        <w:autoSpaceDE w:val="0"/>
        <w:autoSpaceDN w:val="0"/>
        <w:adjustRightInd w:val="0"/>
        <w:ind w:left="360" w:right="-7"/>
        <w:jc w:val="both"/>
        <w:rPr>
          <w:i/>
          <w:iCs/>
          <w:color w:val="000000"/>
          <w:sz w:val="22"/>
          <w:szCs w:val="22"/>
        </w:rPr>
      </w:pPr>
      <w:r w:rsidRPr="001158AB">
        <w:rPr>
          <w:i/>
          <w:iCs/>
          <w:color w:val="000000"/>
          <w:sz w:val="22"/>
          <w:szCs w:val="22"/>
        </w:rPr>
        <w:t>This study analyzes macroeconomic factors that affect the money supply in Indonesia during the period 1993-2022</w:t>
      </w:r>
      <w:r>
        <w:rPr>
          <w:i/>
          <w:iCs/>
          <w:color w:val="000000"/>
          <w:sz w:val="22"/>
          <w:szCs w:val="22"/>
        </w:rPr>
        <w:t>,</w:t>
      </w:r>
      <w:r w:rsidRPr="001158AB">
        <w:rPr>
          <w:i/>
          <w:iCs/>
          <w:color w:val="000000"/>
          <w:sz w:val="22"/>
          <w:szCs w:val="22"/>
        </w:rPr>
        <w:t xml:space="preserve"> using the Error Correction Model (ECM) model. The main objective of this study is to identify macroeconomic variables that are significant in determining the money supply, as well as to understand the short-term and long-term dynamics of these variables. The results of the analysis show that the variables of exchange rate, GDP, and interest rates have a significant negative effect on the money supply. FDI has a significant positive effect on inflation,</w:t>
      </w:r>
      <w:r>
        <w:rPr>
          <w:i/>
          <w:iCs/>
          <w:color w:val="000000"/>
          <w:sz w:val="22"/>
          <w:szCs w:val="22"/>
        </w:rPr>
        <w:t xml:space="preserve"> but</w:t>
      </w:r>
      <w:r w:rsidRPr="001158AB">
        <w:rPr>
          <w:i/>
          <w:iCs/>
          <w:color w:val="000000"/>
          <w:sz w:val="22"/>
          <w:szCs w:val="22"/>
        </w:rPr>
        <w:t xml:space="preserve"> there is no significant effect on the money supply. ECM managed to capture the short-term and long-term relationship</w:t>
      </w:r>
      <w:r>
        <w:rPr>
          <w:i/>
          <w:iCs/>
          <w:color w:val="000000"/>
          <w:sz w:val="22"/>
          <w:szCs w:val="22"/>
        </w:rPr>
        <w:t>s</w:t>
      </w:r>
      <w:r w:rsidRPr="001158AB">
        <w:rPr>
          <w:i/>
          <w:iCs/>
          <w:color w:val="000000"/>
          <w:sz w:val="22"/>
          <w:szCs w:val="22"/>
        </w:rPr>
        <w:t xml:space="preserve"> between these macroeconomic variables and the money supply. These findings provide important insights for policymakers in formulating effective monetary strategies to manage the money supply and maintain economic stability. </w:t>
      </w:r>
    </w:p>
    <w:p w14:paraId="1D32B8C4" w14:textId="4F442F2B" w:rsidR="00D8233D" w:rsidRPr="00D8233D" w:rsidRDefault="00D8233D" w:rsidP="00D8233D">
      <w:pPr>
        <w:autoSpaceDE w:val="0"/>
        <w:autoSpaceDN w:val="0"/>
        <w:adjustRightInd w:val="0"/>
        <w:ind w:left="360" w:right="-7"/>
        <w:jc w:val="both"/>
        <w:rPr>
          <w:i/>
          <w:iCs/>
          <w:color w:val="000000"/>
          <w:sz w:val="22"/>
          <w:szCs w:val="22"/>
        </w:rPr>
      </w:pPr>
      <w:r w:rsidRPr="00D8233D">
        <w:rPr>
          <w:b/>
          <w:bCs/>
          <w:i/>
          <w:iCs/>
          <w:color w:val="000000"/>
          <w:sz w:val="22"/>
          <w:szCs w:val="22"/>
        </w:rPr>
        <w:t>Keywords: Macroeconomic Variables, Money Supply, Indonesia, ECM Model</w:t>
      </w:r>
    </w:p>
    <w:p w14:paraId="095BEA67" w14:textId="77777777" w:rsidR="00B434BE" w:rsidRDefault="00B434BE" w:rsidP="00A36C16">
      <w:pPr>
        <w:autoSpaceDE w:val="0"/>
        <w:autoSpaceDN w:val="0"/>
        <w:adjustRightInd w:val="0"/>
        <w:ind w:right="-7"/>
        <w:jc w:val="both"/>
        <w:rPr>
          <w:b/>
          <w:bCs/>
          <w:color w:val="000000"/>
          <w:lang w:val="fi-FI"/>
        </w:rPr>
      </w:pPr>
    </w:p>
    <w:p w14:paraId="263C3501" w14:textId="5FC48DDE" w:rsidR="00A47EB2" w:rsidRPr="00A47EB2" w:rsidRDefault="002B50C1" w:rsidP="00A36C16">
      <w:pPr>
        <w:autoSpaceDE w:val="0"/>
        <w:autoSpaceDN w:val="0"/>
        <w:adjustRightInd w:val="0"/>
        <w:ind w:right="-7"/>
        <w:jc w:val="both"/>
        <w:rPr>
          <w:color w:val="000000"/>
          <w:lang w:val="fi-FI"/>
        </w:rPr>
      </w:pPr>
      <w:r w:rsidRPr="00A47EB2">
        <w:rPr>
          <w:b/>
          <w:bCs/>
          <w:color w:val="000000"/>
        </w:rPr>
        <w:t>INTRODUCTION</w:t>
      </w:r>
      <w:r w:rsidR="00A47EB2" w:rsidRPr="00A47EB2">
        <w:rPr>
          <w:b/>
          <w:bCs/>
          <w:color w:val="000000"/>
          <w:lang w:val="fi-FI"/>
        </w:rPr>
        <w:t xml:space="preserve"> </w:t>
      </w:r>
    </w:p>
    <w:p w14:paraId="50FD44EE" w14:textId="71C7E492" w:rsidR="00551675" w:rsidRDefault="00E969CA" w:rsidP="00551675">
      <w:pPr>
        <w:ind w:firstLine="567"/>
        <w:jc w:val="both"/>
      </w:pPr>
      <w:r>
        <w:t>Economic activities are inseparable from the interaction in the market, which meets demand and supply. To accommodate these activities, a transaction instrument is needed that has a value that can measure the price of a good or service. The presence of money has been institutionalized in society, so that all community activities are influenced, measured</w:t>
      </w:r>
      <w:r w:rsidR="002B50C1">
        <w:t>,</w:t>
      </w:r>
      <w:r>
        <w:t xml:space="preserve"> and largely determined by money </w:t>
      </w:r>
      <w:r w:rsidR="00551675">
        <w:fldChar w:fldCharType="begin" w:fldLock="1"/>
      </w:r>
      <w:r w:rsidR="00004B81">
        <w:instrText>ADDIN CSL_CITATION {"citationItems":[{"id":"ITEM-1","itemData":{"DOI":"10.33395/owner.v6i2.737","ISSN":"2548-7507","abstract":"Inflation is an increase in the price of an item that tends to be continous. This study aims to find out the effect of the money supply and interest rates on inflation in Indonesia for the period 2015-2020. The data in this study is secondary data obtained from the website while analysis data uses WarpPLS (Descriptive quantitative, outer model, inner model, hypothesis test). Based on the result of hypothesis testing with WarpPLS showed that the variable amount of money supply negatively and significanly on inflation indicated by the path coefficient value of -0,723 and pvalue 0,001. In variable interest rates have a positive and insignificant effect on inflation indicated by the path coefficient values 0,169 and pvalue 0,085. Related to the results of the analysis, this could be due to the fact that the policies and strategies implemented by the government were still in an ineffective condition to suppress existing inflation, so the government had to be more relevant in making policies so that inflation did not continue to decline and instead became a deficit which had an impact on the stability of the economy in Indonesia. The government needs to implement monetary policy carefully so that the economy in Indonesia is stable.","author":[{"dropping-particle":"","family":"Amaliyah","given":"Fitri","non-dropping-particle":"","parse-names":false,"suffix":""},{"dropping-particle":"","family":"Aryanto","given":"Aryanto","non-dropping-particle":"","parse-names":false,"suffix":""}],"container-title":"Owner","id":"ITEM-1","issue":"2","issued":{"date-parts":[["2022"]]},"page":"1342-1349","title":"Pengaruh Jumlah Uang Beredar dan Suku Bunga Terhadap Inflasi di Indonesia","type":"article-journal","volume":"6"},"uris":["http://www.mendeley.com/documents/?uuid=9b318288-b631-4d87-94a4-22756b003f57"]}],"mendeley":{"formattedCitation":"(Amaliyah &amp; Aryanto, 2022)","plainTextFormattedCitation":"(Amaliyah &amp; Aryanto, 2022)","previouslyFormattedCitation":"(Amaliyah &amp; Aryanto, 2022)"},"properties":{"noteIndex":0},"schema":"https://github.com/citation-style-language/schema/raw/master/csl-citation.json"}</w:instrText>
      </w:r>
      <w:r w:rsidR="00551675">
        <w:fldChar w:fldCharType="separate"/>
      </w:r>
      <w:r w:rsidR="00551675" w:rsidRPr="00A71F8D">
        <w:rPr>
          <w:noProof/>
        </w:rPr>
        <w:t>(Amaliyah &amp; Aryanto, 2022)</w:t>
      </w:r>
      <w:r w:rsidR="00551675">
        <w:fldChar w:fldCharType="end"/>
      </w:r>
      <w:r w:rsidR="00551675">
        <w:t xml:space="preserve">. </w:t>
      </w:r>
      <w:r w:rsidRPr="00D963B6">
        <w:t>So important is money in the econom</w:t>
      </w:r>
      <w:r w:rsidR="002B50C1">
        <w:t>y that</w:t>
      </w:r>
      <w:r w:rsidRPr="00D963B6">
        <w:t xml:space="preserve"> the amount of money circulating in the community must be balanced</w:t>
      </w:r>
      <w:r w:rsidR="002B50C1">
        <w:t xml:space="preserve">, </w:t>
      </w:r>
      <w:r w:rsidRPr="00D963B6">
        <w:t>where the amount of money provided by Bank Indonesia must be equal to the amount of money needed by the community. By knowing the number of money requests in the community, it can help Bank Indonesia as a monetary authority in terms of printing and circulating money to the public</w:t>
      </w:r>
      <w:r w:rsidR="00551675">
        <w:t xml:space="preserve"> </w:t>
      </w:r>
      <w:r w:rsidR="00551675">
        <w:fldChar w:fldCharType="begin" w:fldLock="1"/>
      </w:r>
      <w:r w:rsidR="00004B81">
        <w:instrText>ADDIN CSL_CITATION {"citationItems":[{"id":"ITEM-1","itemData":{"author":[{"dropping-particle":"","family":"Widayati Nufiza","given":"Akbar Lufi Zulfikar &amp; Swadia Gandhi Mahardika","non-dropping-particle":"","parse-names":false,"suffix":""}],"container-title":"Jurnal Ekonomi Pembangunan","id":"ITEM-1","issue":"2","issued":{"date-parts":[["2023"]]},"page":"121-136","title":"Pengaruh Pendapatan Nasional Perkapita terhadap Jumlah Uang Beredar di Indonesia","type":"article-journal","volume":"4"},"uris":["http://www.mendeley.com/documents/?uuid=2cab8f64-ec1a-476d-a03c-6c54768fc440"]}],"mendeley":{"formattedCitation":"(Widayati Nufiza, 2023)","plainTextFormattedCitation":"(Widayati Nufiza, 2023)","previouslyFormattedCitation":"(Widayati Nufiza, 2023)"},"properties":{"noteIndex":0},"schema":"https://github.com/citation-style-language/schema/raw/master/csl-citation.json"}</w:instrText>
      </w:r>
      <w:r w:rsidR="00551675">
        <w:fldChar w:fldCharType="separate"/>
      </w:r>
      <w:r w:rsidR="00551675" w:rsidRPr="00D963B6">
        <w:rPr>
          <w:noProof/>
        </w:rPr>
        <w:t>(Widayati Nufiza, 2023)</w:t>
      </w:r>
      <w:r w:rsidR="00551675">
        <w:fldChar w:fldCharType="end"/>
      </w:r>
      <w:r w:rsidR="00551675">
        <w:t>.</w:t>
      </w:r>
    </w:p>
    <w:p w14:paraId="6B896779" w14:textId="38B9DFA0" w:rsidR="00E969CA" w:rsidRDefault="00E969CA" w:rsidP="00472F38">
      <w:pPr>
        <w:ind w:firstLine="567"/>
        <w:jc w:val="both"/>
      </w:pPr>
      <w:r w:rsidRPr="00E3581D">
        <w:t>The money supply is an issue that attracts the attention of not only central bankers and policymakers, but also academics. So important is money in the economy</w:t>
      </w:r>
      <w:r w:rsidR="002B50C1">
        <w:t xml:space="preserve"> that</w:t>
      </w:r>
      <w:r w:rsidRPr="00E3581D">
        <w:t xml:space="preserve"> the amount of money circulating in the community must be balanced</w:t>
      </w:r>
      <w:r w:rsidR="002B50C1">
        <w:t>,</w:t>
      </w:r>
      <w:r w:rsidRPr="00E3581D">
        <w:t xml:space="preserve"> where the amount of money provided by Bank Indonesia must be equal to the amount of money needed by the community. By knowing the number of money requests in the community, it can help Bank Indonesia as a monetary authority in terms of printing and circulating money to the public. By looking at this, it can be said that the demand for money has an important role, especially related to the selection of monetary policy carried out by the central bank</w:t>
      </w:r>
      <w:r w:rsidR="00551675">
        <w:t xml:space="preserve"> </w:t>
      </w:r>
      <w:r w:rsidR="00551675">
        <w:fldChar w:fldCharType="begin" w:fldLock="1"/>
      </w:r>
      <w:r w:rsidR="00004B81">
        <w:instrText>ADDIN CSL_CITATION {"citationItems":[{"id":"ITEM-1","itemData":{"DOI":"10.58192/profit.v1i3.324","ISSN":"2963-4989","abstract":"The purpose of this study was to determine the effect of inflation, interest rates and investment on the money supply in Indonesia from 1991 to 2021. The money supply (JUB) is the total value of money in the hands of the public, consisting of currency and demand deposits. Theoretically, the money supply will affect the value of money implemented at the price and product levels. Factors that affect the money supply are income, inflation, interest. Therefore, the method that can be used is the Error Correction Model (ECM). and the data used is quantitative data, because the data is used to calculate the effect on the variable amount of money in circulation. The data source used is in the form of secondary data, which is data obtained from official sites or websites. The results of this study are that the variable inflation and interest rates have a significant effect on the amount of money in circulation, then the investment variable has no effect and is not significant on the amount of money in circulation","author":[{"dropping-particle":"","family":"Hafizh","given":"Ahmad","non-dropping-particle":"Al","parse-names":false,"suffix":""}],"container-title":"Profit: Jurnal Manajemen, Bisnis dan Akuntansi","id":"ITEM-1","issue":"3","issued":{"date-parts":[["2022"]]},"page":"63-73","title":"Analisis Pengaruh Inflasi, Suku Bunga (Sb) Dan Investasi Terhadap Jumlah Uang Beredar (Jub) Di Indonesia Tahun 1991 - 2022","type":"article-journal","volume":"1"},"uris":["http://www.mendeley.com/documents/?uuid=710a4318-dca9-46e2-ab48-0aaf831aa8ee"]}],"mendeley":{"formattedCitation":"(Al Hafizh, 2022)","plainTextFormattedCitation":"(Al Hafizh, 2022)","previouslyFormattedCitation":"(Al Hafizh, 2022)"},"properties":{"noteIndex":0},"schema":"https://github.com/citation-style-language/schema/raw/master/csl-citation.json"}</w:instrText>
      </w:r>
      <w:r w:rsidR="00551675">
        <w:fldChar w:fldCharType="separate"/>
      </w:r>
      <w:r w:rsidR="00551675" w:rsidRPr="00837051">
        <w:rPr>
          <w:noProof/>
        </w:rPr>
        <w:t>(Al Hafizh, 2022)</w:t>
      </w:r>
      <w:r w:rsidR="00551675">
        <w:fldChar w:fldCharType="end"/>
      </w:r>
      <w:r w:rsidR="00551675">
        <w:t xml:space="preserve">. </w:t>
      </w:r>
      <w:r w:rsidRPr="00734CA4">
        <w:t xml:space="preserve">If you look at the conditions that occur in Indonesia, the amount of money in circulation from year to year continues to increase, both </w:t>
      </w:r>
      <w:r w:rsidR="002B50C1">
        <w:t xml:space="preserve">the </w:t>
      </w:r>
      <w:r w:rsidRPr="00734CA4">
        <w:t xml:space="preserve">money supply in a narrow sense (M1) and </w:t>
      </w:r>
      <w:r w:rsidR="002B50C1">
        <w:t xml:space="preserve">the </w:t>
      </w:r>
      <w:r w:rsidRPr="00734CA4">
        <w:t>money supply in a broad sense (M2).</w:t>
      </w:r>
    </w:p>
    <w:p w14:paraId="53E648DF" w14:textId="3B789E40" w:rsidR="00551675" w:rsidRPr="00FD1834" w:rsidRDefault="00E969CA" w:rsidP="00551675">
      <w:pPr>
        <w:ind w:firstLine="567"/>
        <w:jc w:val="both"/>
      </w:pPr>
      <w:r>
        <w:t>Economic liquidity</w:t>
      </w:r>
      <w:r w:rsidR="002B50C1">
        <w:t>,</w:t>
      </w:r>
      <w:r>
        <w:t xml:space="preserve"> or money supply in a broad sense (M2)</w:t>
      </w:r>
      <w:r w:rsidR="002B50C1">
        <w:t>,</w:t>
      </w:r>
      <w:r>
        <w:t xml:space="preserve"> in January 2024 will grow higher. The M2 position in January 2024 was recorded at IDR 8,721.9 trillion</w:t>
      </w:r>
      <w:r w:rsidR="002B50C1">
        <w:t>,</w:t>
      </w:r>
      <w:r>
        <w:t xml:space="preserve"> </w:t>
      </w:r>
      <w:proofErr w:type="gramStart"/>
      <w:r>
        <w:t>or  5.4</w:t>
      </w:r>
      <w:proofErr w:type="gramEnd"/>
      <w:r>
        <w:t>% (</w:t>
      </w:r>
      <w:proofErr w:type="spellStart"/>
      <w:r>
        <w:t>yoy</w:t>
      </w:r>
      <w:proofErr w:type="spellEnd"/>
      <w:r>
        <w:t>), higher than the previous month's growth of 3.5% (</w:t>
      </w:r>
      <w:proofErr w:type="spellStart"/>
      <w:r>
        <w:t>yoy</w:t>
      </w:r>
      <w:proofErr w:type="spellEnd"/>
      <w:r>
        <w:t xml:space="preserve">). This development was </w:t>
      </w:r>
      <w:r>
        <w:lastRenderedPageBreak/>
        <w:t>driven by the growth of</w:t>
      </w:r>
      <w:r w:rsidR="002B50C1">
        <w:t xml:space="preserve"> a</w:t>
      </w:r>
      <w:r>
        <w:t xml:space="preserve"> narrow money supply (M1) of 4.9% (</w:t>
      </w:r>
      <w:proofErr w:type="spellStart"/>
      <w:r>
        <w:t>yoy</w:t>
      </w:r>
      <w:proofErr w:type="spellEnd"/>
      <w:r>
        <w:t>) and quasi-money of 6.1% (</w:t>
      </w:r>
      <w:proofErr w:type="spellStart"/>
      <w:r>
        <w:t>yoy</w:t>
      </w:r>
      <w:proofErr w:type="spellEnd"/>
      <w:r>
        <w:t xml:space="preserve">) </w:t>
      </w:r>
      <w:r w:rsidR="00551675">
        <w:fldChar w:fldCharType="begin" w:fldLock="1"/>
      </w:r>
      <w:r w:rsidR="00004B81">
        <w:instrText>ADDIN CSL_CITATION {"citationItems":[{"id":"ITEM-1","itemData":{"URL":"https://www.bi.go.id/id/publikasi/ruang-media/news-release/Pages/sp_263524.aspx","author":[{"dropping-particle":"","family":"Bank Indonesia","given":"","non-dropping-particle":"","parse-names":false,"suffix":""}],"id":"ITEM-1","issued":{"date-parts":[["2024"]]},"title":"Uang Beredar Tumbuh Lebih Tinggi pada Januari 2024","type":"webpage"},"uris":["http://www.mendeley.com/documents/?uuid=32f11c0a-90dd-4bf7-9e28-f69fdc2a52e0"]}],"mendeley":{"formattedCitation":"(Bank Indonesia, 2024)","plainTextFormattedCitation":"(Bank Indonesia, 2024)","previouslyFormattedCitation":"(Bank Indonesia, 2024)"},"properties":{"noteIndex":0},"schema":"https://github.com/citation-style-language/schema/raw/master/csl-citation.json"}</w:instrText>
      </w:r>
      <w:r w:rsidR="00551675">
        <w:fldChar w:fldCharType="separate"/>
      </w:r>
      <w:r w:rsidR="00551675" w:rsidRPr="00FD1834">
        <w:rPr>
          <w:noProof/>
        </w:rPr>
        <w:t>(Bank Indonesia, 2024)</w:t>
      </w:r>
      <w:r w:rsidR="00551675">
        <w:fldChar w:fldCharType="end"/>
      </w:r>
      <w:r w:rsidR="00551675">
        <w:t xml:space="preserve">. </w:t>
      </w:r>
      <w:r w:rsidRPr="00E3581D">
        <w:t xml:space="preserve">Extreme monetarists argue that money itself is very important and that all other assets, both real and financial, can almost replace money. On the other hand, the extreme Neo-Keynesian view is based on the premise that money is not important and that changes in interest rates on a number of financial assets alone are crucial factors </w:t>
      </w:r>
      <w:r w:rsidR="00551675">
        <w:fldChar w:fldCharType="begin" w:fldLock="1"/>
      </w:r>
      <w:r w:rsidR="00004B81">
        <w:instrText>ADDIN CSL_CITATION {"citationItems":[{"id":"ITEM-1","itemData":{"author":[{"dropping-particle":"","family":"Chona","given":"Jag M.","non-dropping-particle":"","parse-names":false,"suffix":""}],"container-title":"Economic and Political Weekly","id":"ITEM-1","issue":"18","issued":{"date-parts":[["1976"]]},"page":"668-676","title":"An Analysis Money Multiplier and of Money Supply in India","type":"article-journal","volume":"11"},"uris":["http://www.mendeley.com/documents/?uuid=716a38ab-ff87-4902-82fc-43d4a073f239"]}],"mendeley":{"formattedCitation":"(Chona, 1976)","plainTextFormattedCitation":"(Chona, 1976)","previouslyFormattedCitation":"(Chona, 1976)"},"properties":{"noteIndex":0},"schema":"https://github.com/citation-style-language/schema/raw/master/csl-citation.json"}</w:instrText>
      </w:r>
      <w:r w:rsidR="00551675">
        <w:fldChar w:fldCharType="separate"/>
      </w:r>
      <w:r w:rsidR="00551675" w:rsidRPr="00F7777A">
        <w:rPr>
          <w:noProof/>
        </w:rPr>
        <w:t>(Chona, 1976)</w:t>
      </w:r>
      <w:r w:rsidR="00551675">
        <w:fldChar w:fldCharType="end"/>
      </w:r>
      <w:r w:rsidR="00551675">
        <w:t xml:space="preserve">. </w:t>
      </w:r>
      <w:r w:rsidRPr="00E3581D">
        <w:t xml:space="preserve">The money supply is one of the important factors that affect changes in macroeconomic variables in the economy and has a fundamental role in the discipline of economics </w:t>
      </w:r>
      <w:r w:rsidR="00551675">
        <w:fldChar w:fldCharType="begin" w:fldLock="1"/>
      </w:r>
      <w:r w:rsidR="00004B81">
        <w:instrText>ADDIN CSL_CITATION {"citationItems":[{"id":"ITEM-1","itemData":{"DOI":"10.9790/5933-0705033948","abstract":"There is a continuous debate on money supply process and its impact on macroeconomic variables and so on examination of determinants of money supply. This paper examines the determinants of money supply in India. The paper assesses in detail the major determinants of money supply and how the nature of determinants has changed over the period of time. The analysis is based on money multiple processes, using RBI's annual data for the period 1990-91 to 2014-15. The paper found the two major determinants one is proximate and the other is policy oriented, however latter one has upper hand in determining the money supply. The most important point out here comes that the nature and composition of both the determinants have changed, and these must have implication from policy perspective.","author":[{"dropping-particle":"","family":"Lone","given":"Naveed Ahmad","non-dropping-particle":"","parse-names":false,"suffix":""},{"dropping-particle":"","family":"Yadav","given":"Dr D K","non-dropping-particle":"","parse-names":false,"suffix":""}],"container-title":"IOSR Journal of Economics and Finance","id":"ITEM-1","issue":"5","issued":{"date-parts":[["2016"]]},"page":"39-48","title":"Determinants of Money Supply in India: A Post Reform Scenario","type":"article-journal","volume":"7"},"uris":["http://www.mendeley.com/documents/?uuid=1858f7b9-4a7b-42a5-827e-6a166ae5ed1b"]}],"mendeley":{"formattedCitation":"(Lone &amp; Yadav, 2016)","plainTextFormattedCitation":"(Lone &amp; Yadav, 2016)","previouslyFormattedCitation":"(Lone &amp; Yadav, 2016)"},"properties":{"noteIndex":0},"schema":"https://github.com/citation-style-language/schema/raw/master/csl-citation.json"}</w:instrText>
      </w:r>
      <w:r w:rsidR="00551675">
        <w:fldChar w:fldCharType="separate"/>
      </w:r>
      <w:r w:rsidR="00551675" w:rsidRPr="00BB062C">
        <w:rPr>
          <w:noProof/>
        </w:rPr>
        <w:t>(Lone &amp; Yadav, 2016)</w:t>
      </w:r>
      <w:r w:rsidR="00551675">
        <w:fldChar w:fldCharType="end"/>
      </w:r>
      <w:r w:rsidR="00551675">
        <w:t>.</w:t>
      </w:r>
    </w:p>
    <w:p w14:paraId="44866CA0" w14:textId="047AE206" w:rsidR="00551675" w:rsidRPr="00E15F4A" w:rsidRDefault="00E969CA" w:rsidP="00551675">
      <w:pPr>
        <w:ind w:firstLine="567"/>
        <w:jc w:val="center"/>
        <w:rPr>
          <w:b/>
          <w:bCs/>
        </w:rPr>
      </w:pPr>
      <w:r>
        <w:rPr>
          <w:b/>
          <w:bCs/>
        </w:rPr>
        <w:t>Figure 1</w:t>
      </w:r>
      <w:r w:rsidR="00551675">
        <w:rPr>
          <w:b/>
          <w:bCs/>
        </w:rPr>
        <w:t xml:space="preserve">. </w:t>
      </w:r>
      <w:r>
        <w:rPr>
          <w:b/>
          <w:bCs/>
        </w:rPr>
        <w:t>Money Supply Development Trends in Indonesia 1993-2022</w:t>
      </w:r>
    </w:p>
    <w:p w14:paraId="74021941" w14:textId="77777777" w:rsidR="00551675" w:rsidRDefault="00551675" w:rsidP="00551675">
      <w:pPr>
        <w:ind w:firstLine="567"/>
        <w:jc w:val="both"/>
        <w:rPr>
          <w:color w:val="FF0000"/>
        </w:rPr>
      </w:pPr>
      <w:r>
        <w:rPr>
          <w:noProof/>
        </w:rPr>
        <w:drawing>
          <wp:inline distT="0" distB="0" distL="0" distR="0" wp14:anchorId="354FAF89" wp14:editId="4D0DDBE2">
            <wp:extent cx="5486400" cy="27520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2752090"/>
                    </a:xfrm>
                    <a:prstGeom prst="rect">
                      <a:avLst/>
                    </a:prstGeom>
                    <a:noFill/>
                    <a:ln>
                      <a:noFill/>
                    </a:ln>
                  </pic:spPr>
                </pic:pic>
              </a:graphicData>
            </a:graphic>
          </wp:inline>
        </w:drawing>
      </w:r>
    </w:p>
    <w:p w14:paraId="0F8FB85F" w14:textId="4E3C08D4" w:rsidR="00551675" w:rsidRPr="00E15F4A" w:rsidRDefault="00E969CA" w:rsidP="00551675">
      <w:pPr>
        <w:ind w:firstLine="567"/>
        <w:jc w:val="both"/>
        <w:rPr>
          <w:i/>
          <w:iCs/>
        </w:rPr>
      </w:pPr>
      <w:r>
        <w:rPr>
          <w:i/>
          <w:iCs/>
        </w:rPr>
        <w:t>Source: World Bank (data processed)</w:t>
      </w:r>
    </w:p>
    <w:p w14:paraId="17A0BB67" w14:textId="3D2A6FD2" w:rsidR="00551675" w:rsidRDefault="00E969CA" w:rsidP="00551675">
      <w:pPr>
        <w:ind w:firstLine="567"/>
        <w:jc w:val="both"/>
      </w:pPr>
      <w:r w:rsidRPr="00FA35C7">
        <w:t>Based on the image above, it can be seen that Indonesia is experiencing a trend of developing a fluctuating money supply. In 1998</w:t>
      </w:r>
      <w:r w:rsidR="002B50C1">
        <w:t>,</w:t>
      </w:r>
      <w:r w:rsidRPr="00FA35C7">
        <w:t xml:space="preserve"> it was the one that had the highest trend during the observed period. Money has always been a controversial topic in the field of economics. Policymakers devise their tools to manage the money supply and control its impact on other economic variables </w:t>
      </w:r>
      <w:r w:rsidR="00551675">
        <w:fldChar w:fldCharType="begin" w:fldLock="1"/>
      </w:r>
      <w:r w:rsidR="00E87A26">
        <w:instrText>ADDIN CSL_CITATION {"citationItems":[{"id":"ITEM-1","itemData":{"DOI":"10.52589/ajesd-4veyypje","abstract":"This study aims to investigate whether money supply behaviour in Egypt is exogenously or endogenously determined using data from 2004 to 2019. It aims to identify the determinants of money supply in Egypt and the most important tools used by the central bank to manage it. The study employs the Johansen-Juselius test (1990) to examine the long-run determinants of money supply in Egypt and the error correction model to examine the short-run determinants. We conclude that real GDP, discount rate, budget deficit, and net foreign assets have significant long-term effects on money supply, whereas exchange rate and net domestic assets have no effects. We recommend higher degrees of cooperation between the Central Bank of Egypt and the institutions responsible for the formulation of financial and commercial policies. we also recommend that the central bank continue monitoring foreign assets and strengthen its supervisory activities on banking institutions.","author":[{"dropping-particle":"","family":"Hassan","given":"Solaiman Saeed","non-dropping-particle":"","parse-names":false,"suffix":""},{"dropping-particle":"","family":"Teleb","given":"Mohammed Abdelazeem","non-dropping-particle":"","parse-names":false,"suffix":""}],"container-title":"African Journal of Economics and Sustainable Development","id":"ITEM-1","issue":"1","issued":{"date-parts":[["2022"]]},"page":"59-74","title":"Money Supply Behavior in Egypt (2004-2019)","type":"article-journal","volume":"5"},"uris":["http://www.mendeley.com/documents/?uuid=4cdb3f75-c842-4890-aad9-0de2dee6bd10","http://www.mendeley.com/documents/?uuid=8b6953df-1579-4bfb-974c-ec0c2d82b9ec"]}],"mendeley":{"formattedCitation":"(Hassan &amp; Teleb, 2022)","plainTextFormattedCitation":"(Hassan &amp; Teleb, 2022)","previouslyFormattedCitation":"(Hassan &amp; Teleb, 2022)"},"properties":{"noteIndex":0},"schema":"https://github.com/citation-style-language/schema/raw/master/csl-citation.json"}</w:instrText>
      </w:r>
      <w:r w:rsidR="00551675">
        <w:fldChar w:fldCharType="separate"/>
      </w:r>
      <w:r w:rsidR="00551675" w:rsidRPr="00FA35C7">
        <w:rPr>
          <w:noProof/>
        </w:rPr>
        <w:t>(Hassan &amp; Teleb, 2022)</w:t>
      </w:r>
      <w:r w:rsidR="00551675">
        <w:fldChar w:fldCharType="end"/>
      </w:r>
      <w:r w:rsidR="00551675">
        <w:t>.</w:t>
      </w:r>
    </w:p>
    <w:p w14:paraId="0C421C50" w14:textId="4AA90B31" w:rsidR="00551675" w:rsidRPr="005C11FF" w:rsidRDefault="00E969CA" w:rsidP="00551675">
      <w:pPr>
        <w:ind w:firstLine="567"/>
        <w:jc w:val="both"/>
      </w:pPr>
      <w:r>
        <w:t>Many factors affect the rise and fall of the money supply in Indonesia</w:t>
      </w:r>
      <w:r w:rsidR="002B50C1">
        <w:t>,</w:t>
      </w:r>
      <w:r>
        <w:t xml:space="preserve"> both in a broad sense (M2) and a narrow sense (M1) </w:t>
      </w:r>
      <w:r w:rsidR="00551675">
        <w:fldChar w:fldCharType="begin" w:fldLock="1"/>
      </w:r>
      <w:r w:rsidR="00E87A26">
        <w:instrText>ADDIN CSL_CITATION {"citationItems":[{"id":"ITEM-1","itemData":{"abstract":"One element in the government's monetary policy to stabilize the economy through the financial sector is the money supply. The main objective of this study was to analyze the determinants of the money supply in Indonesia in 2006.1-2011.4 period. The variables used are: Bank Indonesia Certificate rate (SBI), exchange rate, and gross domestic product (GDP). The data used in this study is time series data in the quarterly period from 2006.1 to 2011.4, using multiple linear regression. The results of this analysis states that only the variable exchange rate is not significant. While Bank Indonesia Certificate rate (SBI) and gross domestic product (GDP)are significant effect on the money supply (M2).","author":[{"dropping-particle":"","family":"Maesaroh","given":"Imas","non-dropping-particle":"","parse-names":false,"suffix":""},{"dropping-particle":"","family":"Fera Triani","given":"Lely","non-dropping-particle":"","parse-names":false,"suffix":""}],"container-title":"Sustainable Competitive Advantage (SCA)","id":"ITEM-1","issue":"1","issued":{"date-parts":[["2013"]]},"page":"1-15","title":"Determinant of the Amount of Money Circulating in Indonesia (Review Money Supply (M2) 2006-2011)","type":"article-journal","volume":"2"},"uris":["http://www.mendeley.com/documents/?uuid=6a69a238-a1dd-4822-96be-be1b211729b8","http://www.mendeley.com/documents/?uuid=ba4873cb-4303-4338-9ffa-157ac7515683"]}],"mendeley":{"formattedCitation":"(Maesaroh &amp; Fera Triani, 2013)","plainTextFormattedCitation":"(Maesaroh &amp; Fera Triani, 2013)","previouslyFormattedCitation":"(Maesaroh &amp; Fera Triani, 2013)"},"properties":{"noteIndex":0},"schema":"https://github.com/citation-style-language/schema/raw/master/csl-citation.json"}</w:instrText>
      </w:r>
      <w:r w:rsidR="00551675">
        <w:fldChar w:fldCharType="separate"/>
      </w:r>
      <w:r w:rsidR="00551675" w:rsidRPr="00C97F3C">
        <w:rPr>
          <w:noProof/>
        </w:rPr>
        <w:t>(Maesaroh &amp; Fera Triani, 2013)</w:t>
      </w:r>
      <w:r w:rsidR="00551675">
        <w:fldChar w:fldCharType="end"/>
      </w:r>
      <w:r w:rsidR="00551675">
        <w:t xml:space="preserve">. </w:t>
      </w:r>
      <w:r w:rsidRPr="00B62967">
        <w:t>One of the determining factors for the amount of money in circulation is the exchange rate. In Indonesia, the government usually plays a role in determining the exchange rate so that it reaches a level that is conducive to the business world. The exchange rate, especially the rupiah per dollar exchange rate, is closely related and affects the flow of goods and services as well as capital from within and out of Indonesia</w:t>
      </w:r>
      <w:r w:rsidR="00551675" w:rsidRPr="00B62967">
        <w:t xml:space="preserve"> </w:t>
      </w:r>
      <w:r w:rsidR="00551675" w:rsidRPr="00B62967">
        <w:fldChar w:fldCharType="begin" w:fldLock="1"/>
      </w:r>
      <w:r w:rsidR="00E87A26">
        <w:instrText>ADDIN CSL_CITATION {"citationItems":[{"id":"ITEM-1","itemData":{"abstract":"One element in the government's monetary policy to stabilize the economy through the financial sector is the money supply. The main objective of this study was to analyze the determinants of the money supply in Indonesia in 2006.1-2011.4 period. The variables used are: Bank Indonesia Certificate rate (SBI), exchange rate, and gross domestic product (GDP). The data used in this study is time series data in the quarterly period from 2006.1 to 2011.4, using multiple linear regression. The results of this analysis states that only the variable exchange rate is not significant. While Bank Indonesia Certificate rate (SBI) and gross domestic product (GDP)are significant effect on the money supply (M2).","author":[{"dropping-particle":"","family":"Maesaroh","given":"Imas","non-dropping-particle":"","parse-names":false,"suffix":""},{"dropping-particle":"","family":"Fera Triani","given":"Lely","non-dropping-particle":"","parse-names":false,"suffix":""}],"container-title":"Sustainable Competitive Advantage (SCA)","id":"ITEM-1","issue":"1","issued":{"date-parts":[["2013"]]},"page":"1-15","title":"Determinant of the Amount of Money Circulating in Indonesia (Review Money Supply (M2) 2006-2011)","type":"article-journal","volume":"2"},"uris":["http://www.mendeley.com/documents/?uuid=ba4873cb-4303-4338-9ffa-157ac7515683","http://www.mendeley.com/documents/?uuid=6a69a238-a1dd-4822-96be-be1b211729b8"]}],"mendeley":{"formattedCitation":"(Maesaroh &amp; Fera Triani, 2013)","plainTextFormattedCitation":"(Maesaroh &amp; Fera Triani, 2013)","previouslyFormattedCitation":"(Maesaroh &amp; Fera Triani, 2013)"},"properties":{"noteIndex":0},"schema":"https://github.com/citation-style-language/schema/raw/master/csl-citation.json"}</w:instrText>
      </w:r>
      <w:r w:rsidR="00551675" w:rsidRPr="00B62967">
        <w:fldChar w:fldCharType="separate"/>
      </w:r>
      <w:r w:rsidR="00551675" w:rsidRPr="00B62967">
        <w:rPr>
          <w:noProof/>
        </w:rPr>
        <w:t>(Maesaroh &amp; Fera Triani, 2013)</w:t>
      </w:r>
      <w:r w:rsidR="00551675" w:rsidRPr="00B62967">
        <w:fldChar w:fldCharType="end"/>
      </w:r>
      <w:r w:rsidR="00551675" w:rsidRPr="00B62967">
        <w:t>.</w:t>
      </w:r>
      <w:r w:rsidR="00551675">
        <w:t xml:space="preserve"> </w:t>
      </w:r>
      <w:r>
        <w:t>The movement of the exchange rate will change the movement of the amount of money in circulation. In the condition of an appreciative exchange rate, the amount of money in circulation will decrease</w:t>
      </w:r>
      <w:r w:rsidR="002B50C1">
        <w:t>,</w:t>
      </w:r>
      <w:r>
        <w:t xml:space="preserve"> and in the condition of depreciation, the amount of money supply will increase </w:t>
      </w:r>
      <w:r w:rsidR="00551675">
        <w:fldChar w:fldCharType="begin" w:fldLock="1"/>
      </w:r>
      <w:r w:rsidR="00E87A26">
        <w:instrText>ADDIN CSL_CITATION {"citationItems":[{"id":"ITEM-1","itemData":{"author":[{"dropping-particle":"","family":"Krugman","given":"Paul R.","non-dropping-particle":"","parse-names":false,"suffix":""}],"edition":"8","id":"ITEM-1","issued":{"date-parts":[["2009"]]},"publisher":"University of California Barkeley : Maurice Obstfeld","title":"International Economics Theory &amp; Policy","type":"book"},"uris":["http://www.mendeley.com/documents/?uuid=c93307f8-310c-494b-83bd-a712059934cb","http://www.mendeley.com/documents/?uuid=6fbf5fda-c28e-47c2-880a-6b702a65205a"]}],"mendeley":{"formattedCitation":"(Krugman, 2009)","plainTextFormattedCitation":"(Krugman, 2009)","previouslyFormattedCitation":"(Krugman, 2009)"},"properties":{"noteIndex":0},"schema":"https://github.com/citation-style-language/schema/raw/master/csl-citation.json"}</w:instrText>
      </w:r>
      <w:r w:rsidR="00551675">
        <w:fldChar w:fldCharType="separate"/>
      </w:r>
      <w:r w:rsidR="00551675" w:rsidRPr="00A3682E">
        <w:rPr>
          <w:noProof/>
        </w:rPr>
        <w:t>(Krugman, 2009)</w:t>
      </w:r>
      <w:r w:rsidR="00551675">
        <w:fldChar w:fldCharType="end"/>
      </w:r>
      <w:r w:rsidR="00551675">
        <w:t>.</w:t>
      </w:r>
    </w:p>
    <w:p w14:paraId="5F44DDE3" w14:textId="7E8FAC67" w:rsidR="00551675" w:rsidRDefault="00E969CA" w:rsidP="00551675">
      <w:pPr>
        <w:ind w:firstLine="567"/>
        <w:jc w:val="both"/>
      </w:pPr>
      <w:r>
        <w:rPr>
          <w:i/>
          <w:iCs/>
        </w:rPr>
        <w:t xml:space="preserve">Foreign Direct Investment </w:t>
      </w:r>
      <w:r w:rsidRPr="0076136F">
        <w:t>(FDI) plays an increasingly important role in Indonesia's economy. As one of the main pillars of economic growth, FDI not only increases production capacity and creates jobs, but also has significant implications for the money supply in the economy. In this context, understanding how FDI affects the money supply is crucial to formulating effective economic policies</w:t>
      </w:r>
      <w:r w:rsidR="00004B81">
        <w:t xml:space="preserve"> </w:t>
      </w:r>
      <w:r w:rsidR="00004B81">
        <w:fldChar w:fldCharType="begin" w:fldLock="1"/>
      </w:r>
      <w:r w:rsidR="00B94717">
        <w:instrText>ADDIN CSL_CITATION {"citationItems":[{"id":"ITEM-1","itemData":{"ISSN":"2009-2021","abstract":"This study aims to determine the effect of the money supply, exchange rate, foreign direct investment and wholesale trade price index on exports in Indonesia. This study uses a quantitative approach. The method used is Error Correction Model (ECM). The data obtained are secondary data published by the Central Statistics Agency (BPS) in the form of money supply, the wholesale and export price index, the Ministry of Trade in the form of exchange rates and the Investment Coordinating Board (BKPM) in the form of foreign direct investment. The results of this study indicate that the money supply has a positive and significant effect on Indonesian exports in the short and long term. Meanwhile, the exchange rate and foreign direct investment have a negative and significant impact on Indonesia's exports in the short and long term. Also, the wholesale price index has a positive and significant impact on Indonesian exports in the short term. Abstract: Penelitian ini bertujuan untuk mengetahui pengaruh jumlah uang beredar, nilai tukar, foreign direct investment dan indeks harga perdagangan besar terhadap eskpor di Indonesia. Penelitian ini menggunakan pendekatan kuantitatif. Metode yang digunakan adalah Error Corection Model (ECM). Data diperoleh merupakan data sekunder yang diterbitkan oleh Badan Pusat Statistik (BPS) berupa jumlah uang beredar, indeks harga perdagangan besar dan ekspor, kementerian perdagangan berupa nilai tukar serta badan koordinasi penanaman modal (BKPM) berupa foreign direct investment. Hasil penelitian ini menunjukkan bahwa jumlah uang beredar berpengaruh positif dan signifikan terhadap ekspor Indonesia dalam jangka pendek dan panjang. Sedangkan nilai tukar dan foreign direct investment berpengaruh negatif dan signifikan terhadap ekspor Indonesia dalam jangka pendek dan anjang. Serta, indeks harga perdagangan besar bepengaruh positif dan signifikan terhadap ekspor Indonesia dalam jangka pendek.","author":[{"dropping-particle":"","family":"Radifan","given":"Fadhil","non-dropping-particle":"","parse-names":false,"suffix":""},{"dropping-particle":"","family":"Saputra","given":"Putu Mahardika Adi","non-dropping-particle":"","parse-names":false,"suffix":""}],"container-title":"Contemporary Studies in Economic, Finance and Banking","id":"ITEM-1","issue":"3","issued":{"date-parts":[["2022"]]},"page":"532-545","title":"Pengaruh Jumlah Uang Beredar, Nilai Tukar, Foreign Direct Investment, Dan Indeks Harga Perdagangan Besar Terhadap Ekspor Indonesia Tahun 2009-2021","type":"article-journal","volume":"1"},"uris":["http://www.mendeley.com/documents/?uuid=3306c2ce-6535-45d6-80fe-f47f1a0b5c5d"]}],"mendeley":{"formattedCitation":"(Radifan &amp; Saputra, 2022)","plainTextFormattedCitation":"(Radifan &amp; Saputra, 2022)","previouslyFormattedCitation":"(Radifan &amp; Saputra, 2022)"},"properties":{"noteIndex":0},"schema":"https://github.com/citation-style-language/schema/raw/master/csl-citation.json"}</w:instrText>
      </w:r>
      <w:r w:rsidR="00004B81">
        <w:fldChar w:fldCharType="separate"/>
      </w:r>
      <w:r w:rsidR="00004B81" w:rsidRPr="00004B81">
        <w:rPr>
          <w:noProof/>
        </w:rPr>
        <w:t>(Radifan &amp; Saputra, 2022)</w:t>
      </w:r>
      <w:r w:rsidR="00004B81">
        <w:fldChar w:fldCharType="end"/>
      </w:r>
      <w:r w:rsidR="002B50C1">
        <w:t>.</w:t>
      </w:r>
    </w:p>
    <w:p w14:paraId="2E4EB1E0" w14:textId="332A7ED7" w:rsidR="002D04F3" w:rsidRPr="0076136F" w:rsidRDefault="00E969CA" w:rsidP="00551675">
      <w:pPr>
        <w:ind w:firstLine="567"/>
        <w:jc w:val="both"/>
      </w:pPr>
      <w:r w:rsidRPr="002D04F3">
        <w:lastRenderedPageBreak/>
        <w:t xml:space="preserve">Basically, FDI brings in foreign capital into the country, which is then converted into local currency. This process directly increases the money supply, due to increased liquidity in the domestic financial system </w:t>
      </w:r>
      <w:r w:rsidR="0091693F">
        <w:fldChar w:fldCharType="begin" w:fldLock="1"/>
      </w:r>
      <w:r w:rsidR="0091693F">
        <w:instrText>ADDIN CSL_CITATION {"citationItems":[{"id":"ITEM-1","itemData":{"DOI":"10.52131/joe.2020.0101.0013","ISSN":"2709-6734","abstract":"Economic growth is currently an essential phenomenon for emerging countries worldwide and has gained the researchers' intentions. Thus, the current study aims to examine the role of foreign direct investment (FDI), capital formation, inflation, money supply, and trade openness on the economic growth of Asian countries. The data has been extracted from the twenty emerging Asian countries from 2007 to 2018 using the most popular database named World Development Indicators (WDI). The fixed-effects model, along with the robust standard error, has been used for checking the impact of predictors on the economic growth of Asian countries. The results revealed that the predictors such as FDI, capital formation, money supply, and trade openness have positive association with economic growth, while inflation has a negative association with the economic growth of Asian countries. These findings are suitable for the new arrivals who want to examine this area in the future and for the regular traders who want to develop policies related to economic growth.","author":[{"dropping-particle":"","family":"Yang","given":"Xiuyun","non-dropping-particle":"","parse-names":false,"suffix":""},{"dropping-particle":"","family":"Shafiq","given":"Muhammad Nouman","non-dropping-particle":"","parse-names":false,"suffix":""}],"container-title":"iRASD Journal of Economics","id":"ITEM-1","issue":"1","issued":{"date-parts":[["2020"]]},"page":"25-34","title":"The Impact of Foreign Direct Investment, Capital Formation, Inflation, Money Supply and Trade Openness on Economic Growth of Asian Countries","type":"article-journal","volume":"2"},"uris":["http://www.mendeley.com/documents/?uuid=c34ce16f-90c5-410a-9d49-158e8770c7ef"]}],"mendeley":{"formattedCitation":"(Yang &amp; Shafiq, 2020)","plainTextFormattedCitation":"(Yang &amp; Shafiq, 2020)"},"properties":{"noteIndex":0},"schema":"https://github.com/citation-style-language/schema/raw/master/csl-citation.json"}</w:instrText>
      </w:r>
      <w:r w:rsidR="0091693F">
        <w:fldChar w:fldCharType="separate"/>
      </w:r>
      <w:r w:rsidR="0091693F" w:rsidRPr="0091693F">
        <w:rPr>
          <w:noProof/>
        </w:rPr>
        <w:t>(Yang &amp; Shafiq, 2020)</w:t>
      </w:r>
      <w:r w:rsidR="0091693F">
        <w:fldChar w:fldCharType="end"/>
      </w:r>
      <w:r w:rsidR="002D04F3" w:rsidRPr="002D04F3">
        <w:t xml:space="preserve">. </w:t>
      </w:r>
      <w:r w:rsidRPr="002D04F3">
        <w:t xml:space="preserve">In addition, foreign investment activity is also often accompanied by increased demand for local goods and services, which in turn drives an increase in economic transactions and money turnover </w:t>
      </w:r>
      <w:r w:rsidR="00B94717">
        <w:fldChar w:fldCharType="begin" w:fldLock="1"/>
      </w:r>
      <w:r w:rsidR="00B94717">
        <w:instrText>ADDIN CSL_CITATION {"citationItems":[{"id":"ITEM-1","itemData":{"abstract":"In global economy, Foreign Direct Investment (FDI) is considered an imperative indicator for economic growth. Pakistan is a developing state and FDI is an important element of human capital development, technology transfer, and tax revenues. This paper investigates the role of money supply as moderator in this relationship between economic growth and FDI in Pakistan. The impact of economic growth on FDI is tested and money supply taken as moderator utilizing the data of twenty two years (1995-2017). The secondary data is collected from the World Bank and analyzed by running the statistical tests of correlation and regression. The results indicate that money supply plays a positive role in strengthening the relationship of economic growth and FDI. Consequently, it is implied that if the money supply is increased, there will be economic growth and it will lead to attract the foreign direct investment from the foreign countries in Pakistan.","author":[{"dropping-particle":"","family":"Hina","given":"Maryam","non-dropping-particle":"","parse-names":false,"suffix":""},{"dropping-particle":"","family":"Anayat","given":"Ullah","non-dropping-particle":"","parse-names":false,"suffix":""}],"container-title":"International Journal of Economics, Commerce and Management","id":"ITEM-1","issue":"2","issued":{"date-parts":[["2019"]]},"page":"281-289","title":"The Role of Money Supply : Foreign Direct Investment &amp; Economic Growth in Pakistan","type":"article-journal","volume":"VII"},"uris":["http://www.mendeley.com/documents/?uuid=1c791d83-5a00-48c5-94ac-06055f24c356"]}],"mendeley":{"formattedCitation":"(Hina &amp; Anayat, 2019)","plainTextFormattedCitation":"(Hina &amp; Anayat, 2019)","previouslyFormattedCitation":"(Hina &amp; Anayat, 2019)"},"properties":{"noteIndex":0},"schema":"https://github.com/citation-style-language/schema/raw/master/csl-citation.json"}</w:instrText>
      </w:r>
      <w:r w:rsidR="00B94717">
        <w:fldChar w:fldCharType="separate"/>
      </w:r>
      <w:r w:rsidR="00B94717" w:rsidRPr="00B94717">
        <w:rPr>
          <w:noProof/>
        </w:rPr>
        <w:t>(Hina &amp; Anayat, 2019)</w:t>
      </w:r>
      <w:r w:rsidR="00B94717">
        <w:fldChar w:fldCharType="end"/>
      </w:r>
      <w:r w:rsidR="00B94717">
        <w:t xml:space="preserve">. </w:t>
      </w:r>
      <w:r w:rsidRPr="002D04F3">
        <w:t>However, the effect of FDI on the money supply is not always linear and can be influenced by various other factors</w:t>
      </w:r>
      <w:r w:rsidR="009A11FC">
        <w:t>,</w:t>
      </w:r>
      <w:r w:rsidRPr="002D04F3">
        <w:t xml:space="preserve"> such as monetary policy, political stability, and global economic conditions. For example, large FDI inflows without being offset by appropriate monetary policy can lead to inflationary pressures due to an uncontrolled increase in liquidity. On the other hand, conducive political stability and regulation can attract more FDI, which positively affects the money supply </w:t>
      </w:r>
      <w:r w:rsidR="00B94717">
        <w:fldChar w:fldCharType="begin" w:fldLock="1"/>
      </w:r>
      <w:r w:rsidR="0091693F">
        <w:instrText>ADDIN CSL_CITATION {"citationItems":[{"id":"ITEM-1","itemData":{"DOI":"10.21511/bbs.18(4).2023.09","ISSN":"19917074","abstract":"This study examines the relationship between money supply, macroeconomic indicators, and foreign portfolio investment in Vietnam. Using the Autoregressive Distributed Lag Model and Stata 17 software to analyze quarterly data from Q1/2007 to Q4/2022, the analysis reveals strong and enduring correlations. An increase in money supply and economic growth positively influences foreign portfolio investment, with the money supply from the previous quarters significantly impacting foreign portfolio investment (P-value &lt; 0.01). However, foreign exchange rates and foreign direct investment negatively affect foreign portfolio investment. Three macroeconomic indicators show significance at 1% and 5%, where gross domestic product positively affects foreign portfolio investment, while foreign exchange rates and foreign direct investment have detrimental impacts. The findings indicate that a 1% increase in gross domestic product leads to a USD 50.426 million increase in foreign portfolio investment, while a USD 1 million increase in foreign direct investment results in a USD 0.025 million decrease. Foreign exchange rates significantly affect foreign portfolio investment, with the potential for reduction through VND devaluation or an increase in the VND/USD exchange rate due to government adjustments. Definitive conclusions about external debt, interest rates, and inflation require additional data and research. The study’s R-squared value is 0.2738, with an adjusted R-squared of 0.1813, explaining 27.38% of future changes in Vietnam’s foreign portfolio investment. These findings have important implications for policymakers, suggesting that expanding the money supply and implementing suitable interest rate policies could enhance foreign portfolio investment attractiveness in the nearest term.","author":[{"dropping-particle":"","family":"Thi","given":"Nguyen","non-dropping-particle":"","parse-names":false,"suffix":""},{"dropping-particle":"","family":"Chi","given":"Dieu","non-dropping-particle":"","parse-names":false,"suffix":""}],"container-title":"Banks and Bank Systems","id":"ITEM-1","issue":"4","issued":{"date-parts":[["2023"]]},"page":"94-104","title":"Impact of money supply and macroeconomic indicators on foreign portfolio investment: Evidence from Vietnam","type":"article-journal","volume":"18"},"uris":["http://www.mendeley.com/documents/?uuid=035af132-6d98-4b26-9e66-2124ba646e5b"]}],"mendeley":{"formattedCitation":"(Thi &amp; Chi, 2023)","plainTextFormattedCitation":"(Thi &amp; Chi, 2023)","previouslyFormattedCitation":"(Thi &amp; Chi, 2023)"},"properties":{"noteIndex":0},"schema":"https://github.com/citation-style-language/schema/raw/master/csl-citation.json"}</w:instrText>
      </w:r>
      <w:r w:rsidR="00B94717">
        <w:fldChar w:fldCharType="separate"/>
      </w:r>
      <w:r w:rsidR="00B94717" w:rsidRPr="00B94717">
        <w:rPr>
          <w:noProof/>
        </w:rPr>
        <w:t>(Thi &amp; Chi, 2023)</w:t>
      </w:r>
      <w:r w:rsidR="00B94717">
        <w:fldChar w:fldCharType="end"/>
      </w:r>
      <w:r w:rsidR="00B94717">
        <w:t>.</w:t>
      </w:r>
    </w:p>
    <w:p w14:paraId="70012979" w14:textId="2A7C06FC" w:rsidR="00551675" w:rsidRDefault="00E969CA" w:rsidP="00551675">
      <w:pPr>
        <w:ind w:firstLine="567"/>
        <w:jc w:val="both"/>
      </w:pPr>
      <w:r w:rsidRPr="00330A05">
        <w:t>The link between the money supply and output has been getting more attention lately because of its role in economic growth. Some Keynesians argue that money is not important</w:t>
      </w:r>
      <w:r w:rsidR="009A11FC">
        <w:t>,</w:t>
      </w:r>
      <w:r w:rsidRPr="00330A05">
        <w:t xml:space="preserve"> so it is irrelevant to economic growth. Similarly, some monetarists believe that money is important, thus encouraging the use of monetary policy </w:t>
      </w:r>
      <w:r w:rsidR="009A11FC">
        <w:t>to influence</w:t>
      </w:r>
      <w:r w:rsidRPr="00330A05">
        <w:t xml:space="preserve"> economic growth. Classical economic theory based on money neutrality states that changes in the amount of money in the aggregate money supply affect nominal variables, not real variables. As a result, an increase in the money supply will increase all prices and wages proportionally, but will not have an impact on real economic output (GDP)</w:t>
      </w:r>
      <w:r w:rsidR="00551675">
        <w:t xml:space="preserve"> </w:t>
      </w:r>
      <w:r w:rsidR="00551675">
        <w:fldChar w:fldCharType="begin" w:fldLock="1"/>
      </w:r>
      <w:r w:rsidR="00E87A26">
        <w:instrText>ADDIN CSL_CITATION {"citationItems":[{"id":"ITEM-1","itemData":{"DOI":"10.22606/jaef.2017.21005","ISSN":"25195980","abstract":"This study seeks to assess the impact of relationship between Money Supply and Per Capita GDP Growth Rate in Bangladesh over the period 1972-2014 with a VECM model. The model is specified with three variables, namely, the percentage of Broad Money to GDP (BMGDP), the Real Interest Rate (RIR) and the Annual Per Capital GDP Growth Rate (GRGDP). Findings suggest that steady BMGDP is associated with GRGDP and money supply has important impact on the growth rate of output in the long run. The government should maintain consistency and follow “the Taylor rule” to allow money supply to increase at a steady rate keeping pace with the economic growth. Respect to such a rule will help the central bank to avoid the inefficiencies that result from execution of discretionary policy. It also helps to resist the political pressure very much prevalent in Bangladesh and often behind such discretionary policies. Keywords:","author":[{"dropping-particle":"","family":"Hussain","given":"Mohammed Ershad","non-dropping-particle":"","parse-names":false,"suffix":""},{"dropping-particle":"","family":"Mahfuzul","given":"Haque","non-dropping-particle":"","parse-names":false,"suffix":""}],"container-title":"Journal of Advances in Economics and Finance","id":"ITEM-1","issue":"1","issued":{"date-parts":[["2017"]]},"page":"54-66","title":"Empirical Analysis of the Relationship between Money Supply and Per Capita GDP Growth Rate in Bangladesh","type":"article-journal","volume":"2"},"uris":["http://www.mendeley.com/documents/?uuid=20c50449-e11b-42d8-a71e-a1bfe266eb85","http://www.mendeley.com/documents/?uuid=8f86a4d5-a77b-464d-ac4c-781953280979"]}],"mendeley":{"formattedCitation":"(Hussain &amp; Mahfuzul, 2017)","plainTextFormattedCitation":"(Hussain &amp; Mahfuzul, 2017)","previouslyFormattedCitation":"(Hussain &amp; Mahfuzul, 2017)"},"properties":{"noteIndex":0},"schema":"https://github.com/citation-style-language/schema/raw/master/csl-citation.json"}</w:instrText>
      </w:r>
      <w:r w:rsidR="00551675">
        <w:fldChar w:fldCharType="separate"/>
      </w:r>
      <w:r w:rsidR="00551675" w:rsidRPr="00456A50">
        <w:rPr>
          <w:noProof/>
        </w:rPr>
        <w:t>(Hussain &amp; Mahfuzul, 2017)</w:t>
      </w:r>
      <w:r w:rsidR="00551675">
        <w:fldChar w:fldCharType="end"/>
      </w:r>
      <w:r w:rsidR="00551675">
        <w:t>.</w:t>
      </w:r>
    </w:p>
    <w:p w14:paraId="77A10941" w14:textId="39900624" w:rsidR="00551675" w:rsidRPr="0007187D" w:rsidRDefault="00E969CA" w:rsidP="00551675">
      <w:pPr>
        <w:ind w:firstLine="567"/>
        <w:jc w:val="both"/>
      </w:pPr>
      <w:r w:rsidRPr="00657A05">
        <w:t>Many economists find that the study of money affects the process of economic growth</w:t>
      </w:r>
      <w:r w:rsidR="00551675">
        <w:t xml:space="preserve"> </w:t>
      </w:r>
      <w:r w:rsidR="00551675">
        <w:fldChar w:fldCharType="begin" w:fldLock="1"/>
      </w:r>
      <w:r w:rsidR="00E87A26">
        <w:instrText>ADDIN CSL_CITATION {"citationItems":[{"id":"ITEM-1","itemData":{"author":[{"dropping-particle":"","family":"King","given":"Henry S.","non-dropping-particle":"","parse-names":false,"suffix":""}],"edition":"3","id":"ITEM-1","issued":{"date-parts":[["1873"]]},"publisher-place":"London","title":"Lombard Street: a Description of the Money Market","type":"book"},"uris":["http://www.mendeley.com/documents/?uuid=ffd05cf7-a563-4ba1-8a2e-33fd6ef5a2f9","http://www.mendeley.com/documents/?uuid=f2fcd754-6c9e-4dc8-9d8d-21caa4d278b2"]}],"mendeley":{"formattedCitation":"(King, 1873)","plainTextFormattedCitation":"(King, 1873)","previouslyFormattedCitation":"(King, 1873)"},"properties":{"noteIndex":0},"schema":"https://github.com/citation-style-language/schema/raw/master/csl-citation.json"}</w:instrText>
      </w:r>
      <w:r w:rsidR="00551675">
        <w:fldChar w:fldCharType="separate"/>
      </w:r>
      <w:r w:rsidR="00551675" w:rsidRPr="00A3718F">
        <w:rPr>
          <w:noProof/>
        </w:rPr>
        <w:t>(King, 1873)</w:t>
      </w:r>
      <w:r w:rsidR="00551675">
        <w:fldChar w:fldCharType="end"/>
      </w:r>
      <w:r w:rsidR="00551675">
        <w:t xml:space="preserve">. </w:t>
      </w:r>
      <w:r w:rsidRPr="00657A05">
        <w:t xml:space="preserve">The importance of the banking system in raising money and pumping it to finance large projects </w:t>
      </w:r>
      <w:r w:rsidR="00551675">
        <w:fldChar w:fldCharType="begin" w:fldLock="1"/>
      </w:r>
      <w:r w:rsidR="00E87A26">
        <w:instrText>ADDIN CSL_CITATION {"citationItems":[{"id":"ITEM-1","itemData":{"DOI":"10.2307/2278703","ISSN":"01621459","abstract":"ohn Maynard Keynes Is The Great British Economist Of The Twentieth Century Whose Hugely Influential Work The General Theory Of Employment, Interest And Money Is Undoubtedly The Century S Most Important Book On Economics Strongly Influencing Economic Theory And Practice, Particularly With Regard To The Role Of Government In Stimulating And Regulating A Nation S Economic Life. Keynes S Work Has Undergone Significant Revaluation In Recent Years, And Keynesian Views Which Have Been Widely Defended For So Long Are Now Perceived As At Odds With Keynes S Own Thinking. Recent Scholarship And Research Has Demonstrated Considerable Rivalry And Controversy Concerning The Proper Interpretation Of Keynes S Works, Such That Recourse To The Original Text Is All The More Important. Although Considered By A Few Critics That The Sentence Structures Of The Book Are Quite Incomprehensible And Almost Unbearable To Read, The Book Is An Essential Reading For All Those Who Desire A Basic Education In Economics. The Key To Understanding Keynes Is The Notion That At Particular Times In The Business Cycle, An Economy Can Become Over-Productive (Or Under-Consumptive) And Thus, A Vicious Spiral Is Begun That Results In Massive Layoffs And Cuts In Production As Businesses Attempt To Equilibrate Aggregate Supply And Demand. Thus, Full Employment Is Only One Of Many Or Multiple Macro Equilibria. If An Economy Reaches An Underemployment Equilibrium, Something Is Necessary To Boost Or Stimulate Demand To Produce Full Employment. This Something Could Be Business Investment But Because Of The Logic And Individualist Nature Of Investment Decisions, It Is Unlikely To Rapidly Restore Full Employment. Keynes Logically Seizes Upon The Public Budget And Government Expenditures As The Quickest Way To Restore Full Employment. Borrowing The Money To Finance The Deficit From Private Households And Businesses Is A Quick, Direct Way To Restore Full Employment While At The Same Time, Redirecting Or Siphoning Off The Funds From The Private Sector Which Caused The Over-Production Is In The First Place. Keynes S Theory Is Unquestionably Significant In Understanding Of Modern Economics. Far From Being Destructive, It Alone Has Been Responsible For Nearly 60 Years Of Growth Without A Major Depression As We Experienced Worldwide In The 1930S.While The Present Book Is Indispensable For The Students, Researchers And Teachers Of Economics, It Is Highly Useful For The General Readers Keenly Interested In Unders…","author":[{"dropping-particle":"","family":"Schumpeter","given":"Joseph A.","non-dropping-particle":"","parse-names":false,"suffix":""},{"dropping-particle":"","family":"Keynes","given":"John Maynard","non-dropping-particle":"","parse-names":false,"suffix":""}],"container-title":"Journal of the American Statistical Association","id":"ITEM-1","issue":"196","issued":{"date-parts":[["1936"]]},"page":"791","title":"The General Theory of Employment, Interest and Money.","type":"article-journal","volume":"31"},"uris":["http://www.mendeley.com/documents/?uuid=f393284d-a3b3-4131-8632-ef97a31373b2","http://www.mendeley.com/documents/?uuid=73dc80ef-cc1e-4c61-83fd-69d756adbe0a"]}],"mendeley":{"formattedCitation":"(Schumpeter &amp; Keynes, 1936)","plainTextFormattedCitation":"(Schumpeter &amp; Keynes, 1936)","previouslyFormattedCitation":"(Schumpeter &amp; Keynes, 1936)"},"properties":{"noteIndex":0},"schema":"https://github.com/citation-style-language/schema/raw/master/csl-citation.json"}</w:instrText>
      </w:r>
      <w:r w:rsidR="00551675">
        <w:fldChar w:fldCharType="separate"/>
      </w:r>
      <w:r w:rsidR="00551675" w:rsidRPr="00A3718F">
        <w:rPr>
          <w:noProof/>
        </w:rPr>
        <w:t>(Schumpeter &amp; Keynes, 1936)</w:t>
      </w:r>
      <w:r w:rsidR="00551675">
        <w:fldChar w:fldCharType="end"/>
      </w:r>
      <w:r w:rsidR="00551675">
        <w:t xml:space="preserve">. </w:t>
      </w:r>
      <w:r w:rsidRPr="00657A05">
        <w:t>The balance of the monetary sector leads to the equilibrium of the market economy since the absence of financial institutions and instruments will hinder the transformation of savings into investments, which will have a negative impact on growth, since changes in the money supply affect real variables such as GDP and employment levels due to price stability and incomplete information flowing in the market. The</w:t>
      </w:r>
      <w:r w:rsidR="009A11FC">
        <w:t xml:space="preserve"> effect of the</w:t>
      </w:r>
      <w:r w:rsidRPr="00657A05">
        <w:t xml:space="preserve"> money supply on economic growth emphasizes the strong influence of the money supply on money income and growth</w:t>
      </w:r>
      <w:r w:rsidR="00551675">
        <w:t xml:space="preserve"> </w:t>
      </w:r>
      <w:r w:rsidR="00551675">
        <w:fldChar w:fldCharType="begin" w:fldLock="1"/>
      </w:r>
      <w:r w:rsidR="00E87A26">
        <w:instrText>ADDIN CSL_CITATION {"citationItems":[{"id":"ITEM-1","itemData":{"author":[{"dropping-particle":"","family":"Friedman","given":"M.","non-dropping-particle":"","parse-names":false,"suffix":""},{"dropping-particle":"","family":"Schwartz","given":"A. J.","non-dropping-particle":"","parse-names":false,"suffix":""}],"id":"ITEM-1","issued":{"date-parts":[["1963"]]},"publisher":"Princeton University Press","title":"A monetary history of the United States, 1867- 1960","type":"book"},"uris":["http://www.mendeley.com/documents/?uuid=d0c6b8cf-5773-4d4d-91fa-3d7534f22e36","http://www.mendeley.com/documents/?uuid=4b2043bb-0cfa-4bd8-80c0-953182f20ff8"]}],"mendeley":{"formattedCitation":"(Friedman &amp; Schwartz, 1963)","plainTextFormattedCitation":"(Friedman &amp; Schwartz, 1963)","previouslyFormattedCitation":"(Friedman &amp; Schwartz, 1963)"},"properties":{"noteIndex":0},"schema":"https://github.com/citation-style-language/schema/raw/master/csl-citation.json"}</w:instrText>
      </w:r>
      <w:r w:rsidR="00551675">
        <w:fldChar w:fldCharType="separate"/>
      </w:r>
      <w:r w:rsidR="00551675" w:rsidRPr="00421B98">
        <w:rPr>
          <w:noProof/>
        </w:rPr>
        <w:t>(Friedman &amp; Schwartz, 1963)</w:t>
      </w:r>
      <w:r w:rsidR="00551675">
        <w:fldChar w:fldCharType="end"/>
      </w:r>
      <w:r w:rsidR="00551675">
        <w:t>.</w:t>
      </w:r>
      <w:r w:rsidR="00551675" w:rsidRPr="002F6CD1">
        <w:t xml:space="preserve"> </w:t>
      </w:r>
      <w:r w:rsidRPr="002F6CD1">
        <w:t xml:space="preserve">In contrast to economic theories that state that the money supply affects economic growth, some researchers disagree </w:t>
      </w:r>
      <w:r w:rsidR="009A11FC">
        <w:t>with</w:t>
      </w:r>
      <w:r w:rsidRPr="002F6CD1">
        <w:t xml:space="preserve"> statements </w:t>
      </w:r>
      <w:r w:rsidR="009A11FC">
        <w:t>made</w:t>
      </w:r>
      <w:r w:rsidRPr="002F6CD1">
        <w:t xml:space="preserve"> by people such as </w:t>
      </w:r>
      <w:r w:rsidR="00551675">
        <w:fldChar w:fldCharType="begin" w:fldLock="1"/>
      </w:r>
      <w:r w:rsidR="00E87A26">
        <w:instrText>ADDIN CSL_CITATION {"citationItems":[{"id":"ITEM-1","itemData":{"DOI":"10.9790/5933-0803042637","ISSN":"23215925","abstract":"This study empirically examined the impact of money supply, inflation, and interest rate on Economic Growth in Nigeria using time series data from 1973-2013. VAR Model and Granger Causality test within error correction framework were used. The results of the VEC model provides an evidence in support of a positive impact of broad money supply while inflation and interest rate exhibits a negative impact on growth most especially in the long run. The short run parsimonious results revealed that with the exception of inflation, broad money supply and interest rate were negatively related to economic growth. For the test of causality, it was revealed that none of the explanatory variables granger causes economic growth, implying that money supply, inflation and interest rate have not influenced growth. The study therefore, recommended for an expansionary monetary policy, zero interest based finance capable of attracting investment in the real sector of the economy and arresting the inflationary tendency associated with monetary policy.","author":[{"dropping-particle":"","family":"Gatawa","given":"N. M.","non-dropping-particle":"","parse-names":false,"suffix":""},{"dropping-particle":"","family":"Abdulgafar","given":"Akinola","non-dropping-particle":"","parse-names":false,"suffix":""},{"dropping-particle":"","family":"Olarinde","given":"Muftau O.","non-dropping-particle":"","parse-names":false,"suffix":""}],"container-title":"IOSR Journal of Economics and Finance","id":"ITEM-1","issue":"03","issued":{"date-parts":[["2017"]]},"page":"26-37","title":"Impact of Money Supply and Inflation on Economic Growth in Nigeria (1973-2013)","type":"article-journal","volume":"08"},"uris":["http://www.mendeley.com/documents/?uuid=b4a4dae0-6783-40a3-8b3b-cc4db68208bc","http://www.mendeley.com/documents/?uuid=c2da8ba5-d12a-49d8-92e0-6b2671654b61"]}],"mendeley":{"formattedCitation":"(Gatawa et al., 2017)","manualFormatting":"Gatawa et al., (2017)","plainTextFormattedCitation":"(Gatawa et al., 2017)","previouslyFormattedCitation":"(Gatawa et al., 2017)"},"properties":{"noteIndex":0},"schema":"https://github.com/citation-style-language/schema/raw/master/csl-citation.json"}</w:instrText>
      </w:r>
      <w:r w:rsidR="00551675">
        <w:fldChar w:fldCharType="separate"/>
      </w:r>
      <w:r w:rsidR="00551675" w:rsidRPr="007F5FD5">
        <w:rPr>
          <w:noProof/>
        </w:rPr>
        <w:t xml:space="preserve">Gatawa </w:t>
      </w:r>
      <w:r w:rsidR="00551675" w:rsidRPr="007F5FD5">
        <w:rPr>
          <w:i/>
          <w:iCs/>
          <w:noProof/>
        </w:rPr>
        <w:t>et al</w:t>
      </w:r>
      <w:r w:rsidR="00551675" w:rsidRPr="007F5FD5">
        <w:rPr>
          <w:noProof/>
        </w:rPr>
        <w:t xml:space="preserve">., </w:t>
      </w:r>
      <w:r w:rsidR="00551675">
        <w:rPr>
          <w:noProof/>
        </w:rPr>
        <w:t>(</w:t>
      </w:r>
      <w:r w:rsidR="00551675" w:rsidRPr="007F5FD5">
        <w:rPr>
          <w:noProof/>
        </w:rPr>
        <w:t>2017)</w:t>
      </w:r>
      <w:r w:rsidR="00551675">
        <w:fldChar w:fldCharType="end"/>
      </w:r>
      <w:r w:rsidR="009A11FC">
        <w:t>.</w:t>
      </w:r>
      <w:r w:rsidR="00551675" w:rsidRPr="002F6CD1">
        <w:t xml:space="preserve"> </w:t>
      </w:r>
      <w:r w:rsidRPr="002F6CD1">
        <w:t>As found in his research</w:t>
      </w:r>
      <w:r w:rsidR="009A11FC">
        <w:t>,</w:t>
      </w:r>
      <w:r w:rsidRPr="002F6CD1">
        <w:t xml:space="preserve"> there is no influence of the money supply on economic growth without adequate levels of money</w:t>
      </w:r>
      <w:r w:rsidR="009A11FC">
        <w:t>,</w:t>
      </w:r>
      <w:r w:rsidRPr="002F6CD1">
        <w:t xml:space="preserve"> such as supply, credit, and appropriate current financial conditions </w:t>
      </w:r>
      <w:r w:rsidR="00551675">
        <w:fldChar w:fldCharType="begin" w:fldLock="1"/>
      </w:r>
      <w:r w:rsidR="00E87A26">
        <w:instrText>ADDIN CSL_CITATION {"citationItems":[{"id":"ITEM-1","itemData":{"DOI":"10.51325/ijbeg.v5i2.86","abstract":"This study examines the effect of the broad money supply (M2) on the per capita economic growth in Palestine using time series data from 2000 to 2020. The study used autoregressive distributed lag model (ARDL), the cointegration approach and the error correction model to investigate the effect of money supply on gross domestic product (GDP) per capita. The model is determined by four macroeconomic variables, namely, gross domestic product (GDP) per capita, broad money supply (M2), gross fixed capital formation (GFCF), and inflation rate (INF). The results show that the money supply, the total capital formation, and the inflation rate have a positive impact on the economic growth in the short run. However, none of these variables affect the economic growth in the long term.","author":[{"dropping-particle":"","family":"Razia","given":"Alaa","non-dropping-particle":"","parse-names":false,"suffix":""},{"dropping-particle":"","family":"Omarya","given":"Mostafa","non-dropping-particle":"","parse-names":false,"suffix":""}],"container-title":"International Journal of Business Ethics and Governance","id":"ITEM-1","issue":"2","issued":{"date-parts":[["2022"]]},"page":"1-10","title":"The Impact of the Broad Money Supply (M2) on Economic Growth per Capita in Palestine","type":"article-journal","volume":"5"},"uris":["http://www.mendeley.com/documents/?uuid=5a4cd4ab-8216-43f0-bd16-5f8b337f21fb","http://www.mendeley.com/documents/?uuid=50e6b7c9-5a5e-4174-bac3-7d24d5f35c1b"]}],"mendeley":{"formattedCitation":"(Razia &amp; Omarya, 2022)","plainTextFormattedCitation":"(Razia &amp; Omarya, 2022)","previouslyFormattedCitation":"(Razia &amp; Omarya, 2022)"},"properties":{"noteIndex":0},"schema":"https://github.com/citation-style-language/schema/raw/master/csl-citation.json"}</w:instrText>
      </w:r>
      <w:r w:rsidR="00551675">
        <w:fldChar w:fldCharType="separate"/>
      </w:r>
      <w:r w:rsidR="00551675" w:rsidRPr="009215E5">
        <w:rPr>
          <w:noProof/>
        </w:rPr>
        <w:t>(Razia &amp; Omarya, 2022)</w:t>
      </w:r>
      <w:r w:rsidR="00551675">
        <w:fldChar w:fldCharType="end"/>
      </w:r>
      <w:r w:rsidR="00551675">
        <w:t>.</w:t>
      </w:r>
    </w:p>
    <w:p w14:paraId="77ECFE04" w14:textId="51D7B5C8" w:rsidR="00551675" w:rsidRPr="00AF6598" w:rsidRDefault="00E969CA" w:rsidP="00551675">
      <w:pPr>
        <w:ind w:firstLine="567"/>
        <w:jc w:val="both"/>
      </w:pPr>
      <w:r w:rsidRPr="00260B0A">
        <w:t xml:space="preserve">Government spending is one of the fiscal policies used in the Keynesian model, which has not resulted in a significant increase in aggregate demand. The nominal government expenditure has continued to increase in significant amounts since the crisis hit Indonesia in 1997. However, the amount of government spending has decreased significantly due to very high inflation. Theoretically, only using expansionary fiscal policy, namely increasing government spending to stimulate the economy, will create a </w:t>
      </w:r>
      <w:r w:rsidRPr="00260B0A">
        <w:rPr>
          <w:i/>
          <w:iCs/>
        </w:rPr>
        <w:t>crowding-out effect</w:t>
      </w:r>
      <w:r>
        <w:rPr>
          <w:i/>
          <w:iCs/>
        </w:rPr>
        <w:t xml:space="preserve"> </w:t>
      </w:r>
      <w:r w:rsidR="00551675">
        <w:fldChar w:fldCharType="begin" w:fldLock="1"/>
      </w:r>
      <w:r w:rsidR="00E87A26">
        <w:instrText>ADDIN CSL_CITATION {"citationItems":[{"id":"ITEM-1","itemData":{"DOI":"10.11647/obp.0157.05","abstract":"The article focuses on the information technology graduates studies at the Georgia State University in Atlanta. Aside from the school's affordable tuition, the curriculum is claimed to be well balanced between technical and business-focused materials. According to Puneet Bhargava, who started evaluating part-time information technology-oriented Master in Business Administration (MBA) programs in the state, case studies being tackled in the classroom widened his vision in the business world. Furthermore, the school has launched a master of science degree in information systems audit and control.","author":[{"dropping-particle":"","family":"Young","given":"Andrew","non-dropping-particle":"","parse-names":false,"suffix":""}],"id":"ITEM-1","issue":"March","issued":{"date-parts":[["2018"]]},"page":"36-45","title":"Georgia State University","type":"article-journal"},"uris":["http://www.mendeley.com/documents/?uuid=95b51aa4-5314-4375-b48b-e3f5ac99a4f5","http://www.mendeley.com/documents/?uuid=9384a172-8683-427b-bb22-b1d672049253"]}],"mendeley":{"formattedCitation":"(Young, 2018)","plainTextFormattedCitation":"(Young, 2018)","previouslyFormattedCitation":"(Young, 2018)"},"properties":{"noteIndex":0},"schema":"https://github.com/citation-style-language/schema/raw/master/csl-citation.json"}</w:instrText>
      </w:r>
      <w:r w:rsidR="00551675">
        <w:fldChar w:fldCharType="separate"/>
      </w:r>
      <w:r w:rsidR="00551675" w:rsidRPr="00D304A4">
        <w:rPr>
          <w:noProof/>
        </w:rPr>
        <w:t>(Young, 2018)</w:t>
      </w:r>
      <w:r w:rsidR="00551675">
        <w:fldChar w:fldCharType="end"/>
      </w:r>
      <w:r w:rsidR="00551675">
        <w:t>.</w:t>
      </w:r>
    </w:p>
    <w:p w14:paraId="59D9E5F3" w14:textId="1A6E59C5" w:rsidR="00551675" w:rsidRDefault="00E969CA" w:rsidP="00551675">
      <w:pPr>
        <w:ind w:firstLine="567"/>
        <w:jc w:val="both"/>
      </w:pPr>
      <w:r w:rsidRPr="00C0040A">
        <w:t xml:space="preserve">Government spending has a complex relationship with the money supply. It does not directly inject new money into the economy in the same way that central banks do. However, this can indirectly affect the amount of money in circulation through various mechanisms </w:t>
      </w:r>
      <w:r w:rsidR="00551675">
        <w:fldChar w:fldCharType="begin" w:fldLock="1"/>
      </w:r>
      <w:r w:rsidR="00E87A26">
        <w:instrText>ADDIN CSL_CITATION {"citationItems":[{"id":"ITEM-1","itemData":{"DOI":"10.1080/00036849100000199","ISSN":"14664283","abstract":"A new frame work to measure the impact of an increase in government expenditure and/or money supply on unemployment is provided. The model and procedures introduced are used to estimate a long-run aggregate demand function for the US economy. © 1991, Taylor &amp; Francis Group, LLC. All rights reserved.","author":[{"dropping-particle":"","family":"Bairam","given":"Erkin","non-dropping-particle":"","parse-names":false,"suffix":""}],"container-title":"Applied Economics","id":"ITEM-1","issue":"9","issued":{"date-parts":[["1991"]]},"page":"1483-1486","title":"Government expenditure, money supply and unemployment in the USA: An analysis of the pre-war and post-war functional forms","type":"article-journal","volume":"23"},"uris":["http://www.mendeley.com/documents/?uuid=91e18dc6-045f-44cb-bb36-3614ca1d3892","http://www.mendeley.com/documents/?uuid=a8f944c5-9239-41db-a716-0e9980372bdb"]}],"mendeley":{"formattedCitation":"(Bairam, 1991)","plainTextFormattedCitation":"(Bairam, 1991)","previouslyFormattedCitation":"(Bairam, 1991)"},"properties":{"noteIndex":0},"schema":"https://github.com/citation-style-language/schema/raw/master/csl-citation.json"}</w:instrText>
      </w:r>
      <w:r w:rsidR="00551675">
        <w:fldChar w:fldCharType="separate"/>
      </w:r>
      <w:r w:rsidR="00551675" w:rsidRPr="00E72731">
        <w:rPr>
          <w:noProof/>
        </w:rPr>
        <w:t>(Bairam, 1991)</w:t>
      </w:r>
      <w:r w:rsidR="00551675">
        <w:fldChar w:fldCharType="end"/>
      </w:r>
      <w:r w:rsidR="00551675">
        <w:t xml:space="preserve">. </w:t>
      </w:r>
      <w:r w:rsidRPr="00C0040A">
        <w:t xml:space="preserve">When the government spends more than it collects in taxes, it usually finances the gap by borrowing. These loans can involve selling bonds to banks, </w:t>
      </w:r>
      <w:r w:rsidRPr="00C0040A">
        <w:lastRenderedPageBreak/>
        <w:t xml:space="preserve">which increases banks' reserves and allows them to lend more money into circulation </w:t>
      </w:r>
      <w:r w:rsidR="00551675">
        <w:fldChar w:fldCharType="begin" w:fldLock="1"/>
      </w:r>
      <w:r w:rsidR="00E87A26">
        <w:instrText>ADDIN CSL_CITATION {"citationItems":[{"id":"ITEM-1","itemData":{"ISBN":"9783642253874","ISSN":"2301-928X","PMID":"25246403","author":[{"dropping-particle":"","family":"Makwandi","given":"","non-dropping-particle":"","parse-names":false,"suffix":""},{"dropping-particle":"","family":"Raphael","given":"","non-dropping-particle":"","parse-names":false,"suffix":""}],"container-title":"Huria Journal","id":"ITEM-1","issue":"1","issued":{"date-parts":[["2017"]]},"page":"51-66","title":"The Impact of Government Expenditure, Money Supply and Inflation on Economic Growth in Tanzania","type":"article-journal","volume":"25"},"uris":["http://www.mendeley.com/documents/?uuid=f0ca7445-981e-4ca5-a1a9-64110c858b1c","http://www.mendeley.com/documents/?uuid=fb2fdfd9-6680-49ae-9089-7466bdf62b3c"]}],"mendeley":{"formattedCitation":"(Makwandi &amp; Raphael, 2017)","plainTextFormattedCitation":"(Makwandi &amp; Raphael, 2017)","previouslyFormattedCitation":"(Makwandi &amp; Raphael, 2017)"},"properties":{"noteIndex":0},"schema":"https://github.com/citation-style-language/schema/raw/master/csl-citation.json"}</w:instrText>
      </w:r>
      <w:r w:rsidR="00551675">
        <w:fldChar w:fldCharType="separate"/>
      </w:r>
      <w:r w:rsidR="00551675" w:rsidRPr="00EC6A57">
        <w:rPr>
          <w:noProof/>
        </w:rPr>
        <w:t>(Makwandi &amp; Raphael, 2017)</w:t>
      </w:r>
      <w:r w:rsidR="00551675">
        <w:fldChar w:fldCharType="end"/>
      </w:r>
      <w:r w:rsidR="00551675" w:rsidRPr="00C0040A">
        <w:t>.</w:t>
      </w:r>
      <w:r w:rsidR="00551675">
        <w:t xml:space="preserve"> </w:t>
      </w:r>
      <w:r w:rsidRPr="00C0040A">
        <w:t>Government spending on programs or social benefits can provide an injection of funds into the economy if the recipient spends the funds. This increases demand for goods and services, which can provide incentives for businesses to borrow and invest, potentially leading to</w:t>
      </w:r>
      <w:r w:rsidR="009A11FC">
        <w:t xml:space="preserve"> a</w:t>
      </w:r>
      <w:r w:rsidRPr="00C0040A">
        <w:t xml:space="preserve"> higher money supply </w:t>
      </w:r>
      <w:r w:rsidR="00551675">
        <w:fldChar w:fldCharType="begin" w:fldLock="1"/>
      </w:r>
      <w:r w:rsidR="00E87A26">
        <w:instrText>ADDIN CSL_CITATION {"citationItems":[{"id":"ITEM-1","itemData":{"DOI":"10.2139/ssrn.4010448","abstract":"… government expenditures (CGEs) inject reserves into banks. Purchases of equity from banks as unconventional government expenditures (… tract) the government expenditure. Multiplier …","author":[{"dropping-particle":"","family":"Li","given":"Boyao","non-dropping-particle":"","parse-names":false,"suffix":""}],"container-title":"SSRN Electronic Journal","id":"ITEM-1","issue":"21","issued":{"date-parts":[["2022"]]},"title":"When Government Expenditure Meets Bank Regulation: The Impact of Government Expenditure on Credit Supply","type":"article-journal"},"uris":["http://www.mendeley.com/documents/?uuid=aa555dd5-b4d0-443b-b300-6f48a3f27647","http://www.mendeley.com/documents/?uuid=982a01e8-ea56-41a9-b145-1d0a9e74b63a"]}],"mendeley":{"formattedCitation":"(Li, 2022)","plainTextFormattedCitation":"(Li, 2022)","previouslyFormattedCitation":"(Li, 2022)"},"properties":{"noteIndex":0},"schema":"https://github.com/citation-style-language/schema/raw/master/csl-citation.json"}</w:instrText>
      </w:r>
      <w:r w:rsidR="00551675">
        <w:fldChar w:fldCharType="separate"/>
      </w:r>
      <w:r w:rsidR="00551675" w:rsidRPr="00F22B74">
        <w:rPr>
          <w:noProof/>
        </w:rPr>
        <w:t>(Li, 2022)</w:t>
      </w:r>
      <w:r w:rsidR="00551675">
        <w:fldChar w:fldCharType="end"/>
      </w:r>
      <w:r w:rsidR="00551675">
        <w:t>.</w:t>
      </w:r>
    </w:p>
    <w:p w14:paraId="5754EDBF" w14:textId="31C017ED" w:rsidR="00E969CA" w:rsidRDefault="00E969CA" w:rsidP="00980185">
      <w:pPr>
        <w:ind w:firstLine="567"/>
        <w:jc w:val="both"/>
      </w:pPr>
      <w:r w:rsidRPr="00995947">
        <w:t>One of the factors that causes the money supply</w:t>
      </w:r>
      <w:r w:rsidR="009A11FC">
        <w:t xml:space="preserve"> to decline</w:t>
      </w:r>
      <w:r w:rsidRPr="00995947">
        <w:t xml:space="preserve"> is inflation. If the money supply in the community is high, it will cause inflation to tend to be high and can paralyze the economy</w:t>
      </w:r>
      <w:r w:rsidR="00260A61">
        <w:t>,</w:t>
      </w:r>
      <w:r w:rsidRPr="00995947">
        <w:t xml:space="preserve"> so</w:t>
      </w:r>
      <w:r w:rsidR="00260A61">
        <w:t xml:space="preserve"> </w:t>
      </w:r>
      <w:r w:rsidRPr="00995947">
        <w:t>the money supply must always be stable. The increase in the price of goods and services in the country encourages inflation</w:t>
      </w:r>
      <w:r w:rsidR="00260A61">
        <w:t>,</w:t>
      </w:r>
      <w:r w:rsidRPr="00995947">
        <w:t xml:space="preserve"> </w:t>
      </w:r>
      <w:r w:rsidR="00260A61">
        <w:t>which</w:t>
      </w:r>
      <w:r w:rsidRPr="00995947">
        <w:t xml:space="preserve"> it has an impact on the declining value of money. Thus, Bank Indonesia is required to control the level of </w:t>
      </w:r>
      <w:r w:rsidR="00260A61">
        <w:t xml:space="preserve">the </w:t>
      </w:r>
      <w:r w:rsidRPr="00995947">
        <w:t xml:space="preserve">money supply because it has a wide impact on other macro variables </w:t>
      </w:r>
      <w:r w:rsidR="00551675">
        <w:fldChar w:fldCharType="begin" w:fldLock="1"/>
      </w:r>
      <w:r w:rsidR="00E87A26">
        <w:instrText>ADDIN CSL_CITATION {"citationItems":[{"id":"ITEM-1","itemData":{"DOI":"10.20473/jeba.v30i12020.39-48","ISSN":"2338-2686","abstract":"Introduction: Monetary policy is one of the main instruments of macroeconomic policy. The government with monetary policy is able toinfluence the level of economic growth, employment, and the rate of inflation. The one of main monetary policy is controlling the money supply. Money supply has a widespread impact on other macro variables. This study analyzes the effect of the money supply to variable inflationand interest rates, as well as the effects of inflation and interest rates to investment and economic growth in Indonesia. Methods: This study used analysis of TSLS (Two Stages Least Square). The data used in Times Series. Data for the period 1973 until 2012.Results: From the tests showed that there was a significant effect ofmoney supply to inflation and interest rates. Inflation and interest rateshas no effect on investment in Indonesia partially. While there was thesimultaneous effect of inflation and interest rates to Investment inIndonesia. The research showed that significantly the investmentinfluence economic growth in Indonesia.Conclusion and suggestion: Research indicates that the variable in the money supply directly or indirectly have an impact on economic growthin a country, thus appropriate monetary policy should be given such a broad impact in an economy.","author":[{"dropping-particle":"","family":"Prasasti","given":"Karari Budi","non-dropping-particle":"","parse-names":false,"suffix":""},{"dropping-particle":"","family":"Slamet","given":"Edy Juwono","non-dropping-particle":"","parse-names":false,"suffix":""}],"container-title":"Jurnal Ekonomi dan Bisnis Airlangga","id":"ITEM-1","issue":"1","issued":{"date-parts":[["2020"]]},"page":"39","title":"Pengaruh Jumlah Uang Beredar Terhadap Inflasi Dan Suku Bunga, Serta Terhadap Investasi Dan Pertumbuhan Ekonomi Di Indonesia","type":"article-journal","volume":"30"},"uris":["http://www.mendeley.com/documents/?uuid=01cf0136-50cf-4c8f-8d5b-b3a4d8afb807","http://www.mendeley.com/documents/?uuid=496ab66b-6569-4ddf-beb7-ccf0e3401ac7"]}],"mendeley":{"formattedCitation":"(Prasasti &amp; Slamet, 2020)","plainTextFormattedCitation":"(Prasasti &amp; Slamet, 2020)","previouslyFormattedCitation":"(Prasasti &amp; Slamet, 2020)"},"properties":{"noteIndex":0},"schema":"https://github.com/citation-style-language/schema/raw/master/csl-citation.json"}</w:instrText>
      </w:r>
      <w:r w:rsidR="00551675">
        <w:fldChar w:fldCharType="separate"/>
      </w:r>
      <w:r w:rsidR="00551675" w:rsidRPr="00882DD3">
        <w:rPr>
          <w:noProof/>
        </w:rPr>
        <w:t>(Prasasti &amp; Slamet, 2020)</w:t>
      </w:r>
      <w:r w:rsidR="00551675">
        <w:fldChar w:fldCharType="end"/>
      </w:r>
      <w:r w:rsidR="00551675">
        <w:t xml:space="preserve">. </w:t>
      </w:r>
      <w:r>
        <w:t>Bank Indonesia, as the policy setter of the monetary authority, has the duty as a central bank t</w:t>
      </w:r>
      <w:r w:rsidR="00260A61">
        <w:t>o</w:t>
      </w:r>
      <w:r>
        <w:t xml:space="preserve"> regulate, maintain, and maintain the stability of the rupiah currency and encourage smooth production and development in order to improve the people's standard of living in implementing its policies.</w:t>
      </w:r>
    </w:p>
    <w:p w14:paraId="1179CE78" w14:textId="4A927E5B" w:rsidR="00551675" w:rsidRPr="00962397" w:rsidRDefault="00E969CA" w:rsidP="00551675">
      <w:pPr>
        <w:ind w:firstLine="567"/>
        <w:jc w:val="both"/>
      </w:pPr>
      <w:r w:rsidRPr="002A6DD2">
        <w:t xml:space="preserve">According to the theory of money quantity, inflation is always and everywhere a monetary phenomenon, which is basically caused by the growth of the quantity of money too fast. Milton Friedman's assertion states that the increase in the growth rate of the money supply is not the only cause of inflation in the long term, but it is the most important factor </w:t>
      </w:r>
      <w:r w:rsidR="00551675">
        <w:fldChar w:fldCharType="begin" w:fldLock="1"/>
      </w:r>
      <w:r w:rsidR="00E87A26">
        <w:instrText>ADDIN CSL_CITATION {"citationItems":[{"id":"ITEM-1","itemData":{"author":[{"dropping-particle":"","family":"Friedman,","given":"Milton","non-dropping-particle":"","parse-names":false,"suffix":""},{"dropping-particle":"","family":"Schwartz","given":"Anna J.","non-dropping-particle":"","parse-names":false,"suffix":""}],"id":"ITEM-1","issued":{"date-parts":[["1963"]]},"publisher":"NBER Books","title":"A Monetary History of the United States, 1867-1960","type":"book"},"uris":["http://www.mendeley.com/documents/?uuid=cc4a34fb-9e12-43f1-99e2-70d0a3e0d194","http://www.mendeley.com/documents/?uuid=6fb6f8af-49c4-4873-b9f3-67bdf1f97fc1"]}],"mendeley":{"formattedCitation":"(Friedman, &amp; Schwartz, 1963)","plainTextFormattedCitation":"(Friedman, &amp; Schwartz, 1963)","previouslyFormattedCitation":"(Friedman, &amp; Schwartz, 1963)"},"properties":{"noteIndex":0},"schema":"https://github.com/citation-style-language/schema/raw/master/csl-citation.json"}</w:instrText>
      </w:r>
      <w:r w:rsidR="00551675">
        <w:fldChar w:fldCharType="separate"/>
      </w:r>
      <w:r w:rsidR="00551675" w:rsidRPr="00E64623">
        <w:rPr>
          <w:noProof/>
        </w:rPr>
        <w:t>(Friedman, &amp; Schwartz, 1963)</w:t>
      </w:r>
      <w:r w:rsidR="00551675">
        <w:fldChar w:fldCharType="end"/>
      </w:r>
      <w:r w:rsidR="00551675">
        <w:t>.</w:t>
      </w:r>
      <w:r w:rsidR="00551675" w:rsidRPr="006A5412">
        <w:t xml:space="preserve"> </w:t>
      </w:r>
    </w:p>
    <w:p w14:paraId="08F294CF" w14:textId="54497617" w:rsidR="00551675" w:rsidRDefault="00E969CA" w:rsidP="00551675">
      <w:pPr>
        <w:ind w:firstLine="567"/>
        <w:jc w:val="both"/>
      </w:pPr>
      <w:r w:rsidRPr="000D34C4">
        <w:t xml:space="preserve">Another variable that is affected by the money supply is the interest rate. The interest rate represents future payments for past transfers. Interest rates involve comparing the amount of money at different time periods. Interest rate variables are considered important because they are able to influence people in making decisions about allocating their money. Interest rates are a consideration for the public in determining the allocation of their funds, whether for consumption, savings, or investment </w:t>
      </w:r>
      <w:r w:rsidR="00551675">
        <w:fldChar w:fldCharType="begin" w:fldLock="1"/>
      </w:r>
      <w:r w:rsidR="00E87A26">
        <w:instrText>ADDIN CSL_CITATION {"citationItems":[{"id":"ITEM-1","itemData":{"author":[{"dropping-particle":"","family":"Mankiw","given":"N. Gregory","non-dropping-particle":"","parse-names":false,"suffix":""}],"id":"ITEM-1","issued":{"date-parts":[["2012"]]},"publisher":"Salemba Empat","publisher-place":"Jakarta","title":"Pengantar Ekonomi. Edisi Asia","type":"book"},"uris":["http://www.mendeley.com/documents/?uuid=1ca45129-af5b-4cee-a0e6-a1f83811dcd4","http://www.mendeley.com/documents/?uuid=6c79bb3d-6add-4d40-8f1d-242f1e45ac0d"]}],"mendeley":{"formattedCitation":"(Mankiw, 2012)","plainTextFormattedCitation":"(Mankiw, 2012)","previouslyFormattedCitation":"(Mankiw, 2012)"},"properties":{"noteIndex":0},"schema":"https://github.com/citation-style-language/schema/raw/master/csl-citation.json"}</w:instrText>
      </w:r>
      <w:r w:rsidR="00551675">
        <w:fldChar w:fldCharType="separate"/>
      </w:r>
      <w:r w:rsidR="00551675" w:rsidRPr="007B4646">
        <w:rPr>
          <w:noProof/>
        </w:rPr>
        <w:t>(Mankiw, 2012)</w:t>
      </w:r>
      <w:r w:rsidR="00551675">
        <w:fldChar w:fldCharType="end"/>
      </w:r>
      <w:r w:rsidR="00551675">
        <w:t>.</w:t>
      </w:r>
    </w:p>
    <w:p w14:paraId="5D437A0D" w14:textId="6571A283" w:rsidR="00551675" w:rsidRPr="00B925E6" w:rsidRDefault="00E969CA" w:rsidP="00551675">
      <w:pPr>
        <w:ind w:firstLine="567"/>
        <w:jc w:val="both"/>
      </w:pPr>
      <w:r>
        <w:t xml:space="preserve">Interest rates are important in determining how monetary policy is transmitted to the economy because interest rates have a strong relationship with household spending </w:t>
      </w:r>
      <w:r w:rsidR="00551675">
        <w:fldChar w:fldCharType="begin" w:fldLock="1"/>
      </w:r>
      <w:r w:rsidR="00E87A26">
        <w:instrText>ADDIN CSL_CITATION {"citationItems":[{"id":"ITEM-1","itemData":{"author":[{"dropping-particle":"","family":"Miskhin","given":"Frederic S.","non-dropping-particle":"","parse-names":false,"suffix":""}],"id":"ITEM-1","issued":{"date-parts":[["2017"]]},"publisher":"Salemba Empat","publisher-place":"Jakarta","title":"Ekonomi Uang, Perbankan, dan Pasar Keuangan","type":"book"},"uris":["http://www.mendeley.com/documents/?uuid=a1c6c8e4-6547-43cc-8662-389808695946","http://www.mendeley.com/documents/?uuid=cbf68a22-9992-4ce9-9121-5cbedfa76a71"]}],"mendeley":{"formattedCitation":"(Miskhin, 2017)","plainTextFormattedCitation":"(Miskhin, 2017)","previouslyFormattedCitation":"(Miskhin, 2017)"},"properties":{"noteIndex":0},"schema":"https://github.com/citation-style-language/schema/raw/master/csl-citation.json"}</w:instrText>
      </w:r>
      <w:r w:rsidR="00551675">
        <w:fldChar w:fldCharType="separate"/>
      </w:r>
      <w:r w:rsidR="00551675" w:rsidRPr="00652B30">
        <w:rPr>
          <w:noProof/>
        </w:rPr>
        <w:t>(Miskhin, 2017)</w:t>
      </w:r>
      <w:r w:rsidR="00551675">
        <w:fldChar w:fldCharType="end"/>
      </w:r>
      <w:r w:rsidR="00551675">
        <w:t xml:space="preserve">. </w:t>
      </w:r>
      <w:r>
        <w:t xml:space="preserve">The increase in interest rates directly affects two sides, namely: increasing </w:t>
      </w:r>
      <w:r>
        <w:rPr>
          <w:i/>
          <w:iCs/>
        </w:rPr>
        <w:t xml:space="preserve">the cost of capital, </w:t>
      </w:r>
      <w:r>
        <w:t xml:space="preserve">thereby reducing interest in investing (assuming monetary policy accompanied by an increase in interest rates and the condition of </w:t>
      </w:r>
      <w:r>
        <w:rPr>
          <w:i/>
          <w:iCs/>
        </w:rPr>
        <w:t xml:space="preserve">the paribus </w:t>
      </w:r>
      <w:proofErr w:type="spellStart"/>
      <w:r>
        <w:rPr>
          <w:i/>
          <w:iCs/>
        </w:rPr>
        <w:t>cateris</w:t>
      </w:r>
      <w:proofErr w:type="spellEnd"/>
      <w:r>
        <w:t>). Reduced investment lowered aggregate supply. Then the increase in interest rates increases the interest income of savers, on the one hand</w:t>
      </w:r>
      <w:r w:rsidR="00260A61">
        <w:t>,</w:t>
      </w:r>
      <w:r>
        <w:t xml:space="preserve"> it has an impact on increasing purchasing power (</w:t>
      </w:r>
      <w:r>
        <w:rPr>
          <w:i/>
          <w:iCs/>
        </w:rPr>
        <w:t>income effect</w:t>
      </w:r>
      <w:r>
        <w:t>)</w:t>
      </w:r>
      <w:r w:rsidR="00260A61">
        <w:t>,</w:t>
      </w:r>
      <w:r>
        <w:t xml:space="preserve"> and on the other hand</w:t>
      </w:r>
      <w:r w:rsidR="00260A61">
        <w:t>, it</w:t>
      </w:r>
      <w:r>
        <w:t xml:space="preserve"> reduces consumption interest (</w:t>
      </w:r>
      <w:r>
        <w:rPr>
          <w:i/>
          <w:iCs/>
        </w:rPr>
        <w:t>substitution effect</w:t>
      </w:r>
      <w:r>
        <w:t xml:space="preserve">) </w:t>
      </w:r>
      <w:r w:rsidR="00551675">
        <w:fldChar w:fldCharType="begin" w:fldLock="1"/>
      </w:r>
      <w:r w:rsidR="00004B81">
        <w:instrText>ADDIN CSL_CITATION {"citationItems":[{"id":"ITEM-1","itemData":{"DOI":"10.58192/profit.v1i3.324","ISSN":"2963-4989","abstract":"The purpose of this study was to determine the effect of inflation, interest rates and investment on the money supply in Indonesia from 1991 to 2021. The money supply (JUB) is the total value of money in the hands of the public, consisting of currency and demand deposits. Theoretically, the money supply will affect the value of money implemented at the price and product levels. Factors that affect the money supply are income, inflation, interest. Therefore, the method that can be used is the Error Correction Model (ECM). and the data used is quantitative data, because the data is used to calculate the effect on the variable amount of money in circulation. The data source used is in the form of secondary data, which is data obtained from official sites or websites. The results of this study are that the variable inflation and interest rates have a significant effect on the amount of money in circulation, then the investment variable has no effect and is not significant on the amount of money in circulation","author":[{"dropping-particle":"","family":"Hafizh","given":"Ahmad","non-dropping-particle":"Al","parse-names":false,"suffix":""}],"container-title":"Profit: Jurnal Manajemen, Bisnis dan Akuntansi","id":"ITEM-1","issue":"3","issued":{"date-parts":[["2022"]]},"page":"63-73","title":"Analisis Pengaruh Inflasi, Suku Bunga (Sb) Dan Investasi Terhadap Jumlah Uang Beredar (Jub) Di Indonesia Tahun 1991 - 2022","type":"article-journal","volume":"1"},"uris":["http://www.mendeley.com/documents/?uuid=710a4318-dca9-46e2-ab48-0aaf831aa8ee"]}],"mendeley":{"formattedCitation":"(Al Hafizh, 2022)","plainTextFormattedCitation":"(Al Hafizh, 2022)","previouslyFormattedCitation":"(Al Hafizh, 2022)"},"properties":{"noteIndex":0},"schema":"https://github.com/citation-style-language/schema/raw/master/csl-citation.json"}</w:instrText>
      </w:r>
      <w:r w:rsidR="00551675">
        <w:fldChar w:fldCharType="separate"/>
      </w:r>
      <w:r w:rsidR="00551675" w:rsidRPr="006B3F46">
        <w:rPr>
          <w:noProof/>
        </w:rPr>
        <w:t>(Al Hafizh, 2022)</w:t>
      </w:r>
      <w:r w:rsidR="00551675">
        <w:fldChar w:fldCharType="end"/>
      </w:r>
      <w:r w:rsidR="00551675">
        <w:t>.</w:t>
      </w:r>
    </w:p>
    <w:p w14:paraId="2F2F9893" w14:textId="564A9387" w:rsidR="00B24AA6" w:rsidRDefault="00B24AA6" w:rsidP="0058097C">
      <w:pPr>
        <w:ind w:firstLine="567"/>
        <w:jc w:val="both"/>
      </w:pPr>
      <w:r w:rsidRPr="00745E49">
        <w:t>We can see from several previous studies that the author tries to fill the research gap, namely</w:t>
      </w:r>
      <w:r w:rsidR="00260A61">
        <w:t xml:space="preserve">, </w:t>
      </w:r>
      <w:r w:rsidRPr="00745E49">
        <w:t>rather than testing to the inconsistency of variable variables that affect money supply, researchers include a new variable that is rarely researched, namely the variable of government expenditure in affecting money supply. This study seeks to investigate various determinants that affect the amount of money supply in Indonesia using macroeconomic variables that are able to have a more complex and broader influence and have a great impact on the economic condition of a country. So monetary policy must be really appropriate in order to be able to overcome problems that arise in the economy and stabilize the economic condition of a country.</w:t>
      </w:r>
    </w:p>
    <w:p w14:paraId="060A7704" w14:textId="77777777" w:rsidR="00D347ED" w:rsidRPr="006348FD" w:rsidRDefault="00D347ED" w:rsidP="0058097C">
      <w:pPr>
        <w:ind w:firstLine="567"/>
        <w:jc w:val="both"/>
      </w:pPr>
    </w:p>
    <w:p w14:paraId="5F48842A" w14:textId="77777777" w:rsidR="008A345C" w:rsidRDefault="008A345C" w:rsidP="00A36C16">
      <w:pPr>
        <w:autoSpaceDE w:val="0"/>
        <w:autoSpaceDN w:val="0"/>
        <w:adjustRightInd w:val="0"/>
        <w:ind w:right="-7"/>
        <w:jc w:val="both"/>
        <w:rPr>
          <w:color w:val="000000"/>
          <w:lang w:val="fi-FI"/>
        </w:rPr>
      </w:pPr>
    </w:p>
    <w:p w14:paraId="67F7FB36" w14:textId="77777777" w:rsidR="00B24AA6" w:rsidRPr="009169F2" w:rsidRDefault="00B24AA6" w:rsidP="007F715D">
      <w:pPr>
        <w:autoSpaceDE w:val="0"/>
        <w:autoSpaceDN w:val="0"/>
        <w:adjustRightInd w:val="0"/>
        <w:ind w:right="-7"/>
        <w:jc w:val="both"/>
        <w:rPr>
          <w:b/>
          <w:color w:val="000000"/>
          <w:lang w:val="id-ID"/>
        </w:rPr>
      </w:pPr>
      <w:r>
        <w:rPr>
          <w:b/>
          <w:color w:val="000000"/>
        </w:rPr>
        <w:lastRenderedPageBreak/>
        <w:t>THEORETICAL FRAMEWORK</w:t>
      </w:r>
    </w:p>
    <w:p w14:paraId="2F6D2EC5" w14:textId="77777777" w:rsidR="00B24AA6" w:rsidRDefault="00B24AA6" w:rsidP="007F715D">
      <w:pPr>
        <w:rPr>
          <w:b/>
          <w:bCs/>
        </w:rPr>
      </w:pPr>
      <w:r>
        <w:rPr>
          <w:b/>
          <w:bCs/>
        </w:rPr>
        <w:t>The Theory of the Amount of Money in Supply</w:t>
      </w:r>
    </w:p>
    <w:p w14:paraId="6BF2F4BD" w14:textId="74F60EC3" w:rsidR="006348FD" w:rsidRPr="00424EE1" w:rsidRDefault="00B24AA6" w:rsidP="006348FD">
      <w:pPr>
        <w:ind w:firstLine="567"/>
        <w:jc w:val="both"/>
      </w:pPr>
      <w:r w:rsidRPr="00424EE1">
        <w:t>The amount of money in circulation is determined by the amount of money suppl</w:t>
      </w:r>
      <w:r w:rsidR="00260A61">
        <w:t>ied</w:t>
      </w:r>
      <w:r w:rsidRPr="00424EE1">
        <w:t xml:space="preserve"> </w:t>
      </w:r>
      <w:r w:rsidR="00260A61">
        <w:t>by</w:t>
      </w:r>
      <w:r w:rsidRPr="00424EE1">
        <w:t xml:space="preserve"> the Central Bank and the demand for money from the public. The amount of money in circulation basically has two meanings, namely</w:t>
      </w:r>
      <w:r w:rsidR="00260A61">
        <w:t>,</w:t>
      </w:r>
      <w:r w:rsidRPr="00424EE1">
        <w:t xml:space="preserve"> money supply in a narrow sense. In a narrow sense, money has the meaning of all currency and bills available for use by the public, so that it is purchasing power that can be directly used for payment. The amount of money in circulation at a given time is the sum of currency and currency</w:t>
      </w:r>
      <w:r w:rsidR="006348FD" w:rsidRPr="00424EE1">
        <w:t xml:space="preserve"> </w:t>
      </w:r>
      <w:r w:rsidR="006348FD" w:rsidRPr="00424EE1">
        <w:fldChar w:fldCharType="begin" w:fldLock="1"/>
      </w:r>
      <w:r w:rsidR="00E87A26">
        <w:instrText>ADDIN CSL_CITATION {"citationItems":[{"id":"ITEM-1","itemData":{"author":[{"dropping-particle":"","family":"Boediono","given":"","non-dropping-particle":"","parse-names":false,"suffix":""}],"id":"ITEM-1","issued":{"date-parts":[["1998"]]},"publisher":"BPFE","publisher-place":"Yogyakarta","title":"Ekonomi Moneter","type":"book"},"uris":["http://www.mendeley.com/documents/?uuid=e525792d-62ec-4a05-8caa-c4ac08acf3b3","http://www.mendeley.com/documents/?uuid=699459d8-3285-44d1-9c6a-788cb2cdf47d"]}],"mendeley":{"formattedCitation":"(Boediono, 1998)","plainTextFormattedCitation":"(Boediono, 1998)","previouslyFormattedCitation":"(Boediono, 1998)"},"properties":{"noteIndex":0},"schema":"https://github.com/citation-style-language/schema/raw/master/csl-citation.json"}</w:instrText>
      </w:r>
      <w:r w:rsidR="006348FD" w:rsidRPr="00424EE1">
        <w:fldChar w:fldCharType="separate"/>
      </w:r>
      <w:r w:rsidR="006348FD" w:rsidRPr="00424EE1">
        <w:rPr>
          <w:noProof/>
        </w:rPr>
        <w:t>(Boediono, 1998)</w:t>
      </w:r>
      <w:r w:rsidR="006348FD" w:rsidRPr="00424EE1">
        <w:fldChar w:fldCharType="end"/>
      </w:r>
      <w:r w:rsidR="006348FD" w:rsidRPr="00424EE1">
        <w:t>.</w:t>
      </w:r>
    </w:p>
    <w:p w14:paraId="7A4514F4" w14:textId="77777777" w:rsidR="00B24AA6" w:rsidRDefault="00B24AA6" w:rsidP="000A279F">
      <w:pPr>
        <w:jc w:val="both"/>
        <w:rPr>
          <w:b/>
          <w:bCs/>
        </w:rPr>
      </w:pPr>
      <w:r>
        <w:rPr>
          <w:b/>
          <w:bCs/>
        </w:rPr>
        <w:t>Exchange rate</w:t>
      </w:r>
    </w:p>
    <w:p w14:paraId="1ADAA434" w14:textId="1EA141C8" w:rsidR="00B24AA6" w:rsidRDefault="00B24AA6" w:rsidP="00117326">
      <w:pPr>
        <w:ind w:firstLine="567"/>
        <w:jc w:val="both"/>
      </w:pPr>
      <w:r>
        <w:t xml:space="preserve">The quantity theory of money explains the relationship between the amount of money in circulation and the level of prices in the economy. If central banks increase the money supply in response to currency depreciation to stabilize the exchange rate, then the money supply will increase. In the event of exchange rate depreciation, the central bank may sell foreign exchange reserves to buy local currency, increasing the money supply </w:t>
      </w:r>
      <w:r w:rsidR="006348FD">
        <w:fldChar w:fldCharType="begin" w:fldLock="1"/>
      </w:r>
      <w:r w:rsidR="00E87A26">
        <w:instrText>ADDIN CSL_CITATION {"citationItems":[{"id":"ITEM-1","itemData":{"DOI":"10.4337/9781783472246.00017","ISBN":"9781783472246","author":[{"dropping-particle":"","family":"Cottrell","given":"Allin","non-dropping-particle":"","parse-names":false,"suffix":""}],"container-title":"Advances in Endogenous Money Analysis","id":"ITEM-1","issue":"June","issued":{"date-parts":[["1997"]]},"page":"173-187","title":"Money endogeneity and the quantity theory: The case of commodity money","type":"article-journal"},"uris":["http://www.mendeley.com/documents/?uuid=10b97c5f-43c5-4ef8-ac9a-97f3cbb97c67","http://www.mendeley.com/documents/?uuid=b348feda-bb94-42c5-a1c9-27f11b893499"]}],"mendeley":{"formattedCitation":"(Cottrell, 1997)","plainTextFormattedCitation":"(Cottrell, 1997)","previouslyFormattedCitation":"(Cottrell, 1997)"},"properties":{"noteIndex":0},"schema":"https://github.com/citation-style-language/schema/raw/master/csl-citation.json"}</w:instrText>
      </w:r>
      <w:r w:rsidR="006348FD">
        <w:fldChar w:fldCharType="separate"/>
      </w:r>
      <w:r w:rsidR="006348FD" w:rsidRPr="00FA6588">
        <w:rPr>
          <w:noProof/>
        </w:rPr>
        <w:t>(Cottrell, 1997)</w:t>
      </w:r>
      <w:r w:rsidR="006348FD">
        <w:fldChar w:fldCharType="end"/>
      </w:r>
      <w:r w:rsidR="006348FD">
        <w:t xml:space="preserve">. </w:t>
      </w:r>
      <w:r>
        <w:t xml:space="preserve">According to </w:t>
      </w:r>
      <w:r>
        <w:rPr>
          <w:i/>
          <w:iCs/>
        </w:rPr>
        <w:t xml:space="preserve">the Purchasing Power Parity </w:t>
      </w:r>
      <w:r>
        <w:t xml:space="preserve">(PPP) theory, if the money supply increases and causes domestic inflation, the price of domestic goods will increase. In order to maintain the equality of goods prices between countries, the domestic currency exchange rate must depreciate </w:t>
      </w:r>
      <w:r w:rsidR="006348FD">
        <w:fldChar w:fldCharType="begin" w:fldLock="1"/>
      </w:r>
      <w:r w:rsidR="00E87A26">
        <w:instrText>ADDIN CSL_CITATION {"citationItems":[{"id":"ITEM-1","itemData":{"author":[{"dropping-particle":"","family":"Ito","given":"Takatoshi","non-dropping-particle":"","parse-names":false,"suffix":""},{"dropping-particle":"","family":"Sasaki","given":"Yuri N","non-dropping-particle":"","parse-names":false,"suffix":""},{"dropping-particle":"","family":"Sato","given":"Kiyotaka","non-dropping-particle":"","parse-names":false,"suffix":""}],"container-title":"RIETI Discussion Paper Series","id":"ITEM-1","issue":"05-E-020","issued":{"date-parts":[["2005"]]},"page":"1-55","title":"Pass-Through of Exchange Rate Changes and Macroeconomic Shocks to Domestic Inflation in East Asian Countries","type":"article-journal"},"uris":["http://www.mendeley.com/documents/?uuid=59e89aa9-6594-48e7-a62c-fbc450679f22","http://www.mendeley.com/documents/?uuid=38f090c3-bd6d-46d3-a68e-0e4fd4d31986"]}],"mendeley":{"formattedCitation":"(Ito et al., 2005)","plainTextFormattedCitation":"(Ito et al., 2005)","previouslyFormattedCitation":"(Ito et al., 2005)"},"properties":{"noteIndex":0},"schema":"https://github.com/citation-style-language/schema/raw/master/csl-citation.json"}</w:instrText>
      </w:r>
      <w:r w:rsidR="006348FD">
        <w:fldChar w:fldCharType="separate"/>
      </w:r>
      <w:r w:rsidR="006348FD" w:rsidRPr="00F24BAC">
        <w:rPr>
          <w:noProof/>
        </w:rPr>
        <w:t xml:space="preserve">(Ito </w:t>
      </w:r>
      <w:r w:rsidR="006348FD" w:rsidRPr="00F24BAC">
        <w:rPr>
          <w:i/>
          <w:iCs/>
          <w:noProof/>
        </w:rPr>
        <w:t>et al</w:t>
      </w:r>
      <w:r w:rsidR="006348FD" w:rsidRPr="00F24BAC">
        <w:rPr>
          <w:noProof/>
        </w:rPr>
        <w:t>., 2005)</w:t>
      </w:r>
      <w:r w:rsidR="006348FD">
        <w:fldChar w:fldCharType="end"/>
      </w:r>
      <w:r w:rsidR="006348FD">
        <w:t xml:space="preserve">. </w:t>
      </w:r>
      <w:r>
        <w:t xml:space="preserve">This is in line with </w:t>
      </w:r>
      <w:r>
        <w:fldChar w:fldCharType="begin" w:fldLock="1"/>
      </w:r>
      <w:r>
        <w:instrText>ADDIN CSL_CITATION {"citationItems":[{"id":"ITEM-1","itemData":{"DOI":"10.29264/jfor.v20i1.3307","ISSN":"1411-1713","abstract":"Studi ini menganalisis pengaruh nilai tukar Rupiah dan jumlah uang bererdar terhadap Perkembangan ekspor Indonesia menggunakan data tahun 2006 kuartal I sampai tahun 2015 kuartal III dengan menggunakan Error Correction Model (ECM). Dalam kurun waktu 2006 kuartal I. Pada kurun waktu tersebut, pergerakan ekspor Indonesia secara umum mengalami tren yang positif. Penurunan jumlah ekspor terjadi pada tahun 2008 dan 2012. Pada tahun tersebut adalah kondisi dimana terjadi guncangan perekonomian global. Sementara pergerakan nilai tukar terus menunjukkan kenaikannya dari tahun per tahun. Hal ini juga berlaku pada jumlah uang beredar yang menunjukkan tren positif. Studi ini menemukan bahwa dalam jangka panjang dan jangka pendek memiliki hubungan yang signifikan antara jumlah ekspor, nilai tukar dan jumlah uang beredar.","author":[{"dropping-particle":"","family":"Setyorani","given":"Bekti","non-dropping-particle":"","parse-names":false,"suffix":""}],"container-title":"Forum Ekonomi","id":"ITEM-1","issue":"1","issued":{"date-parts":[["2018"]]},"page":"1","title":"Pengaruh nilai tukar terhadap ekspor dan jumlah uang beredar di indonesia","type":"article-journal","volume":"20"},"uris":["http://www.mendeley.com/documents/?uuid=a836249e-3092-48d6-a2a5-e6afa587ccc0","http://www.mendeley.com/documents/?uuid=89b4d286-6f50-4b0a-becd-3f8de263e637"]}],"mendeley":{"formattedCitation":"(Setyorani, 2018)","manualFormatting":"Setyorani (2018)","plainTextFormattedCitation":"(Setyorani, 2018)","previouslyFormattedCitation":"(Setyorani, 2018)"},"properties":{"noteIndex":0},"schema":"https://github.com/citation-style-language/schema/raw/master/csl-citation.json"}</w:instrText>
      </w:r>
      <w:r>
        <w:fldChar w:fldCharType="separate"/>
      </w:r>
      <w:r w:rsidRPr="00686413">
        <w:rPr>
          <w:noProof/>
        </w:rPr>
        <w:t>research by Setyorani (2018)</w:t>
      </w:r>
      <w:r>
        <w:fldChar w:fldCharType="end"/>
      </w:r>
      <w:r w:rsidR="00260A61">
        <w:t>.</w:t>
      </w:r>
      <w:r>
        <w:t xml:space="preserve"> and </w:t>
      </w:r>
      <w:r>
        <w:fldChar w:fldCharType="begin" w:fldLock="1"/>
      </w:r>
      <w:r>
        <w:instrText>ADDIN CSL_CITATION {"citationItems":[{"id":"ITEM-1","itemData":{"author":[{"dropping-particle":"","family":"Anggraini","given":"Dewi","non-dropping-particle":"","parse-names":false,"suffix":""},{"dropping-particle":"","family":"Rahayu","given":"Dewi","non-dropping-particle":"","parse-names":false,"suffix":""}],"container-title":"JIEP","id":"ITEM-1","issued":{"date-parts":[["2022"]]},"title":"Jumlah Uang Beredar di Indonesia (Periode 2011-2019)","type":"article-journal","volume":"5"},"uris":["http://www.mendeley.com/documents/?uuid=435b54c0-3a22-4508-92fb-4bc7eeef1b95","http://www.mendeley.com/documents/?uuid=fd0d4a35-8dec-4f7e-abb7-821277c55dd4"]}],"mendeley":{"formattedCitation":"(Anggraini &amp; Rahayu, 2022)","manualFormatting":"Anggraini &amp; Rahayu (2022)","plainTextFormattedCitation":"(Anggraini &amp; Rahayu, 2022)","previouslyFormattedCitation":"(Anggraini &amp; Rahayu, 2022)"},"properties":{"noteIndex":0},"schema":"https://github.com/citation-style-language/schema/raw/master/csl-citation.json"}</w:instrText>
      </w:r>
      <w:r>
        <w:fldChar w:fldCharType="separate"/>
      </w:r>
      <w:r w:rsidRPr="005D20D4">
        <w:rPr>
          <w:noProof/>
        </w:rPr>
        <w:t>Anggraini &amp; Rahayu (2022)</w:t>
      </w:r>
      <w:r>
        <w:fldChar w:fldCharType="end"/>
      </w:r>
      <w:r>
        <w:t xml:space="preserve"> which found that the exchange rate has a positive effect on the money supply.</w:t>
      </w:r>
    </w:p>
    <w:p w14:paraId="49882A64" w14:textId="00AF4F6F" w:rsidR="00B24AA6" w:rsidRPr="00C15669" w:rsidRDefault="00B24AA6" w:rsidP="00822164">
      <w:pPr>
        <w:jc w:val="both"/>
      </w:pPr>
      <w:r>
        <w:t xml:space="preserve">H1: </w:t>
      </w:r>
      <w:r w:rsidR="00260A61">
        <w:t>The e</w:t>
      </w:r>
      <w:r>
        <w:t>xchange rate has a positive effect on the money supply</w:t>
      </w:r>
      <w:r w:rsidR="00260A61">
        <w:t>.</w:t>
      </w:r>
    </w:p>
    <w:p w14:paraId="24C9E017" w14:textId="77777777" w:rsidR="00B24AA6" w:rsidRPr="00F10F2D" w:rsidRDefault="00B24AA6" w:rsidP="00A577C1">
      <w:pPr>
        <w:jc w:val="both"/>
        <w:rPr>
          <w:b/>
          <w:bCs/>
        </w:rPr>
      </w:pPr>
      <w:r w:rsidRPr="00F10F2D">
        <w:rPr>
          <w:b/>
          <w:bCs/>
        </w:rPr>
        <w:t>FDI</w:t>
      </w:r>
    </w:p>
    <w:p w14:paraId="1A29A929" w14:textId="67865969" w:rsidR="006348FD" w:rsidRDefault="00B24AA6" w:rsidP="006348FD">
      <w:pPr>
        <w:ind w:firstLine="567"/>
        <w:jc w:val="both"/>
      </w:pPr>
      <w:r w:rsidRPr="004E4DE6">
        <w:t>According to Keynesian theory, the demand for money consists of transactions, speculation, and just</w:t>
      </w:r>
      <w:r w:rsidR="00260A61">
        <w:t>-</w:t>
      </w:r>
      <w:r w:rsidRPr="004E4DE6">
        <w:t>in</w:t>
      </w:r>
      <w:r w:rsidR="00260A61">
        <w:t>-</w:t>
      </w:r>
      <w:r w:rsidRPr="004E4DE6">
        <w:t>case. The increase in FDI increases economic activity and investment, which increases the demand for money. Central banks can respond by increasing the money supply to support higher economic activity. When FDI enters a country, capital in the form of foreign currency is converted into local currency. This process increases the money supply as central banks or commercial banks issue local currency in exchange</w:t>
      </w:r>
      <w:r w:rsidR="006348FD">
        <w:t xml:space="preserve"> </w:t>
      </w:r>
      <w:r w:rsidR="006348FD">
        <w:fldChar w:fldCharType="begin" w:fldLock="1"/>
      </w:r>
      <w:r w:rsidR="00E87A26">
        <w:instrText>ADDIN CSL_CITATION {"citationItems":[{"id":"ITEM-1","itemData":{"ISSN":"15645142","author":[{"dropping-particle":"","family":"Jahan","given":"Sarwat","non-dropping-particle":"","parse-names":false,"suffix":""},{"dropping-particle":"","family":"Mahmud","given":"Ahmed Saber","non-dropping-particle":"","parse-names":false,"suffix":""},{"dropping-particle":"","family":"Papageorgiou","given":"Chris","non-dropping-particle":"","parse-names":false,"suffix":""}],"container-title":"Finance and Development","id":"ITEM-1","issue":"3","issued":{"date-parts":[["2014"]]},"page":"53-54","title":"What is Keynesian economics?","type":"article-journal","volume":"51"},"uris":["http://www.mendeley.com/documents/?uuid=ab3dbbb6-6388-4500-b309-52f0f777d8ab","http://www.mendeley.com/documents/?uuid=a71f72f3-fc45-4b38-ade8-aa3cdee18f6c"]}],"mendeley":{"formattedCitation":"(Jahan et al., 2014)","plainTextFormattedCitation":"(Jahan et al., 2014)","previouslyFormattedCitation":"(Jahan et al., 2014)"},"properties":{"noteIndex":0},"schema":"https://github.com/citation-style-language/schema/raw/master/csl-citation.json"}</w:instrText>
      </w:r>
      <w:r w:rsidR="006348FD">
        <w:fldChar w:fldCharType="separate"/>
      </w:r>
      <w:r w:rsidR="006348FD" w:rsidRPr="009C6BB1">
        <w:rPr>
          <w:noProof/>
        </w:rPr>
        <w:t>(Jahan</w:t>
      </w:r>
      <w:r w:rsidR="006348FD" w:rsidRPr="009C6BB1">
        <w:rPr>
          <w:i/>
          <w:iCs/>
          <w:noProof/>
        </w:rPr>
        <w:t xml:space="preserve"> et al.</w:t>
      </w:r>
      <w:r w:rsidR="006348FD" w:rsidRPr="009C6BB1">
        <w:rPr>
          <w:noProof/>
        </w:rPr>
        <w:t>, 2014)</w:t>
      </w:r>
      <w:r w:rsidR="006348FD">
        <w:fldChar w:fldCharType="end"/>
      </w:r>
      <w:r w:rsidR="006348FD">
        <w:t>.</w:t>
      </w:r>
    </w:p>
    <w:p w14:paraId="24840F45" w14:textId="2025DD23" w:rsidR="00B24AA6" w:rsidRPr="00F10F2D" w:rsidRDefault="00B24AA6" w:rsidP="0049758D">
      <w:pPr>
        <w:ind w:firstLine="567"/>
        <w:jc w:val="both"/>
      </w:pPr>
      <w:r w:rsidRPr="00FF0448">
        <w:t>FDI is often directed at projects that increase production capacity and infrastructure. This increase increases economic activity and the demand for money to support day-to-day business transactions. To meet this demand, central banks may intervene in the foreign exchange market by buying foreign currency and printing more local currency, which increases the money supply. This is in line with research</w:t>
      </w:r>
      <w:r w:rsidR="00260A61">
        <w:t xml:space="preserve"> by</w:t>
      </w:r>
      <w:r w:rsidRPr="00FF0448">
        <w:t xml:space="preserve"> </w:t>
      </w:r>
      <w:r w:rsidR="007B17F3">
        <w:fldChar w:fldCharType="begin" w:fldLock="1"/>
      </w:r>
      <w:r w:rsidR="00004B81">
        <w:instrText>ADDIN CSL_CITATION {"citationItems":[{"id":"ITEM-1","itemData":{"author":[{"dropping-particle":"","family":"Sarno","given":"Lucio","non-dropping-particle":"","parse-names":false,"suffix":""},{"dropping-particle":"","family":"Taylor","given":"Mark P","non-dropping-particle":"","parse-names":false,"suffix":""},{"dropping-particle":"","family":"Sarno","given":"Lucio","non-dropping-particle":"","parse-names":false,"suffix":""},{"dropping-particle":"","family":"Taylor","given":"Mark P","non-dropping-particle":"","parse-names":false,"suffix":""}],"id":"ITEM-1","issue":"3","issued":{"date-parts":[["2020"]]},"page":"839-868","title":"Official Intervention in the Foreign Exchange Market : Is It Effective and , If so , How Official Intervention in the Foreign Exchange Market : Is It Effective and , If So , How Does It Work ?","type":"article-journal","volume":"39"},"uris":["http://www.mendeley.com/documents/?uuid=0126fbac-6ebe-4a9b-930d-1f70c7eeaedd","http://www.mendeley.com/documents/?uuid=d16c9d01-dc69-4b07-8a08-2067d62219b6"]}],"mendeley":{"formattedCitation":"(Sarno et al., 2020)","manualFormatting":"Sarno et al (2020)","plainTextFormattedCitation":"(Sarno et al., 2020)","previouslyFormattedCitation":"(Sarno et al., 2020)"},"properties":{"noteIndex":0},"schema":"https://github.com/citation-style-language/schema/raw/master/csl-citation.json"}</w:instrText>
      </w:r>
      <w:r w:rsidR="007B17F3">
        <w:fldChar w:fldCharType="separate"/>
      </w:r>
      <w:r w:rsidR="007B17F3" w:rsidRPr="00957B61">
        <w:rPr>
          <w:noProof/>
        </w:rPr>
        <w:t xml:space="preserve">Sarno </w:t>
      </w:r>
      <w:r w:rsidR="007B17F3" w:rsidRPr="00957B61">
        <w:rPr>
          <w:i/>
          <w:iCs/>
          <w:noProof/>
        </w:rPr>
        <w:t>et al</w:t>
      </w:r>
      <w:r w:rsidR="007B17F3" w:rsidRPr="00957B61">
        <w:rPr>
          <w:noProof/>
        </w:rPr>
        <w:t xml:space="preserve"> </w:t>
      </w:r>
      <w:r w:rsidR="007B17F3">
        <w:rPr>
          <w:noProof/>
        </w:rPr>
        <w:t>(</w:t>
      </w:r>
      <w:r w:rsidR="007B17F3" w:rsidRPr="00957B61">
        <w:rPr>
          <w:noProof/>
        </w:rPr>
        <w:t>2020)</w:t>
      </w:r>
      <w:r w:rsidR="007B17F3">
        <w:fldChar w:fldCharType="end"/>
      </w:r>
      <w:r w:rsidR="007B17F3">
        <w:t xml:space="preserve"> </w:t>
      </w:r>
      <w:r w:rsidR="00260A61">
        <w:t>and</w:t>
      </w:r>
      <w:r w:rsidR="007B17F3">
        <w:t xml:space="preserve"> </w:t>
      </w:r>
      <w:r w:rsidR="007B17F3">
        <w:fldChar w:fldCharType="begin" w:fldLock="1"/>
      </w:r>
      <w:r w:rsidR="00004B81">
        <w:instrText>ADDIN CSL_CITATION {"citationItems":[{"id":"ITEM-1","itemData":{"ISSN":"1475-3693","author":[{"dropping-particle":"","family":"Omran","given":"Mohammed","non-dropping-particle":"","parse-names":false,"suffix":""},{"dropping-particle":"","family":"Bolbol","given":"Ali","non-dropping-particle":"","parse-names":false,"suffix":""}],"container-title":"Review of Middle East Economics and Finance","id":"ITEM-1","issue":"3","issued":{"date-parts":[["2022"]]},"page":"37-55","publisher":"De Gruyter","title":"Foreign direct investment, financial development, and economic growth: evidence from the Arab countries","type":"article-journal","volume":"1"},"uris":["http://www.mendeley.com/documents/?uuid=08752b6f-a9e7-4728-96e4-b6568bc59564","http://www.mendeley.com/documents/?uuid=9461d92b-6a4f-41ba-af5b-48626cfe717a"]}],"mendeley":{"formattedCitation":"(Omran &amp; Bolbol, 2022)","manualFormatting":"Omran &amp; Bolbol (2022)","plainTextFormattedCitation":"(Omran &amp; Bolbol, 2022)","previouslyFormattedCitation":"(Omran &amp; Bolbol, 2022)"},"properties":{"noteIndex":0},"schema":"https://github.com/citation-style-language/schema/raw/master/csl-citation.json"}</w:instrText>
      </w:r>
      <w:r w:rsidR="007B17F3">
        <w:fldChar w:fldCharType="separate"/>
      </w:r>
      <w:r w:rsidR="007B17F3" w:rsidRPr="00957B61">
        <w:rPr>
          <w:noProof/>
        </w:rPr>
        <w:t xml:space="preserve">Omran &amp; Bolbol </w:t>
      </w:r>
      <w:r w:rsidR="007B17F3">
        <w:rPr>
          <w:noProof/>
        </w:rPr>
        <w:t>(</w:t>
      </w:r>
      <w:r w:rsidR="007B17F3" w:rsidRPr="00957B61">
        <w:rPr>
          <w:noProof/>
        </w:rPr>
        <w:t>2022)</w:t>
      </w:r>
      <w:r w:rsidR="007B17F3">
        <w:fldChar w:fldCharType="end"/>
      </w:r>
      <w:r w:rsidR="00260A61">
        <w:t>,</w:t>
      </w:r>
      <w:r w:rsidR="007B17F3">
        <w:t xml:space="preserve"> </w:t>
      </w:r>
      <w:r>
        <w:t>which states that foreign direct investment has an effect on the money supply.</w:t>
      </w:r>
    </w:p>
    <w:p w14:paraId="794A984A" w14:textId="67A1387E" w:rsidR="00B24AA6" w:rsidRDefault="00B24AA6" w:rsidP="0049758D">
      <w:pPr>
        <w:rPr>
          <w:b/>
          <w:bCs/>
          <w:color w:val="FF0000"/>
        </w:rPr>
      </w:pPr>
      <w:r>
        <w:t>H2: FDI has a positive effect on the money supply</w:t>
      </w:r>
      <w:r w:rsidR="00260A61">
        <w:t>.</w:t>
      </w:r>
    </w:p>
    <w:p w14:paraId="3DC14100" w14:textId="77777777" w:rsidR="00B24AA6" w:rsidRDefault="00B24AA6" w:rsidP="0049758D">
      <w:pPr>
        <w:rPr>
          <w:b/>
          <w:bCs/>
          <w:color w:val="FF0000"/>
        </w:rPr>
      </w:pPr>
      <w:r w:rsidRPr="005122E8">
        <w:rPr>
          <w:b/>
          <w:bCs/>
        </w:rPr>
        <w:t>GDP</w:t>
      </w:r>
    </w:p>
    <w:p w14:paraId="438BE0C7" w14:textId="330454D0" w:rsidR="006348FD" w:rsidRDefault="00B24AA6" w:rsidP="006348FD">
      <w:pPr>
        <w:ind w:firstLine="567"/>
        <w:jc w:val="both"/>
      </w:pPr>
      <w:r w:rsidRPr="005122E8">
        <w:t>According to the Keynesian view, the demand for money is primarily determined by the level of economic activity. As GDP increases, the demand for money for transactions increases, which then prompts central banks to increase the money supply to meet this demand. This shows that the economy is growing and</w:t>
      </w:r>
      <w:r w:rsidR="00260A61">
        <w:t xml:space="preserve"> that</w:t>
      </w:r>
      <w:r w:rsidRPr="005122E8">
        <w:t xml:space="preserve"> there is an increase in the production of goods and services. Economic growth usually requires an increase in the money supply to support more transactions. In a growing economy, central banks may increase the money supply to prevent deflation and support aggregate demand </w:t>
      </w:r>
      <w:r w:rsidR="006348FD">
        <w:fldChar w:fldCharType="begin" w:fldLock="1"/>
      </w:r>
      <w:r w:rsidR="00E87A26">
        <w:instrText>ADDIN CSL_CITATION {"citationItems":[{"id":"ITEM-1","itemData":{"DOI":"10.11118/actaun201765020745","ISSN":"12118516","abstract":"The main aim of this paper is to investigate relationships between selected macroeconomic variables - interest rate, price level, money supply and real GDP - in the Czech Republic in order to find out definite implications of its interactions and give recommendations to macroeconomic policy authorities. Two implemented vector autoregression models with different lag length reached slightly different conclusions. VAR(1) suggests that three pairs of Granger causality exist, in particular between price level and interest rate, between real GDP and interest rate and between real GDP and price level. VAR(2) uncovered two more pairs of Granger causality between money supply and interest rate and between money supply and price level. Despite better prediction power of VAR(2) in case of money supply, low correlation coefficient comprising variable money supply raises doubts about the factual existence of causality between money supply and other variables. However, both models allow forecasting the direction of change in case of variables interest rate and real GDP with the same success rate nearly 82 %. Both VARs also agreed that interest rate could be changed by change of price level and that interest rate could be changed by change of real GDP. These conclusions represent potential recommendations to macroeconomic policy authorities. For the purpose of further research, exchange rate variable will be included in the model instead of interest rate, because effect of interest rate turned out to be limited in times of weakened state of Czech economy.","author":[{"dropping-particle":"","family":"Urbanovský","given":"Tomáš","non-dropping-particle":"","parse-names":false,"suffix":""}],"container-title":"Acta Universitatis Agriculturae et Silviculturae Mendelianae Brunensis","id":"ITEM-1","issue":"2","issued":{"date-parts":[["2017"]]},"page":"745-757","title":"Granger causalities between interest rate, price level, money supply and real GDP in the Czech Republic","type":"article-journal","volume":"65"},"uris":["http://www.mendeley.com/documents/?uuid=6e0f4c81-2c7a-4528-a6a7-90c0a8346dc9","http://www.mendeley.com/documents/?uuid=b3013d4a-5a9b-46f9-b29a-1103c3c9e789"]}],"mendeley":{"formattedCitation":"(Urbanovský, 2017)","plainTextFormattedCitation":"(Urbanovský, 2017)","previouslyFormattedCitation":"(Urbanovský, 2017)"},"properties":{"noteIndex":0},"schema":"https://github.com/citation-style-language/schema/raw/master/csl-citation.json"}</w:instrText>
      </w:r>
      <w:r w:rsidR="006348FD">
        <w:fldChar w:fldCharType="separate"/>
      </w:r>
      <w:r w:rsidR="006348FD" w:rsidRPr="005C7DF1">
        <w:rPr>
          <w:noProof/>
        </w:rPr>
        <w:t>(Urbanovský, 2017)</w:t>
      </w:r>
      <w:r w:rsidR="006348FD">
        <w:fldChar w:fldCharType="end"/>
      </w:r>
      <w:r w:rsidR="006348FD">
        <w:t>.</w:t>
      </w:r>
    </w:p>
    <w:p w14:paraId="15A5673B" w14:textId="6A772360" w:rsidR="00FC0AC3" w:rsidRPr="007D60CE" w:rsidRDefault="00FC0AC3" w:rsidP="00942089">
      <w:pPr>
        <w:ind w:firstLine="567"/>
        <w:jc w:val="both"/>
      </w:pPr>
      <w:r w:rsidRPr="00EB47C4">
        <w:lastRenderedPageBreak/>
        <w:t>The effect of gross domestic product on the money supply is that if the gross domestic product increases, the money supply also increases</w:t>
      </w:r>
      <w:r w:rsidR="00260A61">
        <w:t>,</w:t>
      </w:r>
      <w:r w:rsidRPr="00EB47C4">
        <w:t xml:space="preserve"> and vice versa, if the gross domestic product decreases, the money supply will decrease</w:t>
      </w:r>
      <w:r w:rsidR="00260A61">
        <w:t>.</w:t>
      </w:r>
      <w:r w:rsidRPr="00EB47C4">
        <w:t xml:space="preserve"> </w:t>
      </w:r>
      <w:r w:rsidR="00260A61">
        <w:t>T</w:t>
      </w:r>
      <w:r w:rsidRPr="00EB47C4">
        <w:t>his results in the gross domestic product having a positive effect on the money supply</w:t>
      </w:r>
      <w:r w:rsidR="006348FD">
        <w:t xml:space="preserve"> </w:t>
      </w:r>
      <w:r w:rsidR="006348FD">
        <w:fldChar w:fldCharType="begin" w:fldLock="1"/>
      </w:r>
      <w:r w:rsidR="00E87A26">
        <w:instrText>ADDIN CSL_CITATION {"citationItems":[{"id":"ITEM-1","itemData":{"abstract":"… karena jumlah uang beredar ditentukan oleh BI. Namun dalam jangka panjang pengaruh inflasi terhadap jumlah uang beredar adalah jika inflasi naik maka jumlah uang beredar akan …","author":[{"dropping-particle":"","family":"Mentari","given":"Wilda Ayu","non-dropping-particle":"","parse-names":false,"suffix":""},{"dropping-particle":"","family":"Pangidoan","given":"Eddy","non-dropping-particle":"","parse-names":false,"suffix":""}],"container-title":"Jurnal Sains Ekonomi","id":"ITEM-1","issue":"1","issued":{"date-parts":[["2020"]]},"page":"9-17","title":"Pengaruh produk domestik bruto, suku bunga, dan inflasi terhadap jumlah uang beredar di Indonesia","type":"article-journal","volume":"1"},"uris":["http://www.mendeley.com/documents/?uuid=bf0899d1-a2cc-4cf2-8615-a2637593375d","http://www.mendeley.com/documents/?uuid=07f81515-2b67-47d9-8553-9a0f3773387c"]}],"mendeley":{"formattedCitation":"(Mentari &amp; Pangidoan, 2020)","plainTextFormattedCitation":"(Mentari &amp; Pangidoan, 2020)","previouslyFormattedCitation":"(Mentari &amp; Pangidoan, 2020)"},"properties":{"noteIndex":0},"schema":"https://github.com/citation-style-language/schema/raw/master/csl-citation.json"}</w:instrText>
      </w:r>
      <w:r w:rsidR="006348FD">
        <w:fldChar w:fldCharType="separate"/>
      </w:r>
      <w:r w:rsidR="006348FD" w:rsidRPr="00EB47C4">
        <w:rPr>
          <w:noProof/>
        </w:rPr>
        <w:t>(Mentari &amp; Pangidoan, 2020)</w:t>
      </w:r>
      <w:r w:rsidR="006348FD">
        <w:fldChar w:fldCharType="end"/>
      </w:r>
      <w:r w:rsidR="006348FD">
        <w:t xml:space="preserve">. </w:t>
      </w:r>
      <w:r w:rsidRPr="007D60CE">
        <w:t>This is in line with research</w:t>
      </w:r>
      <w:r w:rsidR="006348FD" w:rsidRPr="007D60CE">
        <w:t xml:space="preserve"> </w:t>
      </w:r>
      <w:r w:rsidR="006348FD" w:rsidRPr="007D60CE">
        <w:fldChar w:fldCharType="begin" w:fldLock="1"/>
      </w:r>
      <w:r w:rsidR="00E87A26">
        <w:instrText>ADDIN CSL_CITATION {"citationItems":[{"id":"ITEM-1","itemData":{"author":[{"dropping-particle":"","family":"Anggraini","given":"Dewi","non-dropping-particle":"","parse-names":false,"suffix":""},{"dropping-particle":"","family":"Rahayu","given":"Dewi","non-dropping-particle":"","parse-names":false,"suffix":""}],"container-title":"JIEP","id":"ITEM-1","issued":{"date-parts":[["2022"]]},"title":"Jumlah Uang Beredar di Indonesia (Periode 2011-2019)","type":"article-journal","volume":"5"},"uris":["http://www.mendeley.com/documents/?uuid=fd0d4a35-8dec-4f7e-abb7-821277c55dd4","http://www.mendeley.com/documents/?uuid=435b54c0-3a22-4508-92fb-4bc7eeef1b95"]}],"mendeley":{"formattedCitation":"(Anggraini &amp; Rahayu, 2022)","manualFormatting":"(Anggraini &amp; Rahayu, 2022","plainTextFormattedCitation":"(Anggraini &amp; Rahayu, 2022)","previouslyFormattedCitation":"(Anggraini &amp; Rahayu, 2022)"},"properties":{"noteIndex":0},"schema":"https://github.com/citation-style-language/schema/raw/master/csl-citation.json"}</w:instrText>
      </w:r>
      <w:r w:rsidR="006348FD" w:rsidRPr="007D60CE">
        <w:fldChar w:fldCharType="separate"/>
      </w:r>
      <w:r w:rsidR="006348FD">
        <w:rPr>
          <w:noProof/>
        </w:rPr>
        <w:t>(</w:t>
      </w:r>
      <w:r w:rsidR="006348FD" w:rsidRPr="007D60CE">
        <w:rPr>
          <w:noProof/>
        </w:rPr>
        <w:t>Anggraini &amp; Rahayu, 2022</w:t>
      </w:r>
      <w:r w:rsidR="006348FD" w:rsidRPr="007D60CE">
        <w:fldChar w:fldCharType="end"/>
      </w:r>
      <w:r w:rsidR="006348FD">
        <w:t>;</w:t>
      </w:r>
      <w:r w:rsidR="006348FD" w:rsidRPr="007D60CE">
        <w:t xml:space="preserve"> </w:t>
      </w:r>
      <w:r w:rsidR="006348FD">
        <w:fldChar w:fldCharType="begin" w:fldLock="1"/>
      </w:r>
      <w:r w:rsidR="00E87A26">
        <w:instrText>ADDIN CSL_CITATION {"citationItems":[{"id":"ITEM-1","itemData":{"DOI":"10.52589/ajesd-4veyypje","abstract":"This study aims to investigate whether money supply behaviour in Egypt is exogenously or endogenously determined using data from 2004 to 2019. It aims to identify the determinants of money supply in Egypt and the most important tools used by the central bank to manage it. The study employs the Johansen-Juselius test (1990) to examine the long-run determinants of money supply in Egypt and the error correction model to examine the short-run determinants. We conclude that real GDP, discount rate, budget deficit, and net foreign assets have significant long-term effects on money supply, whereas exchange rate and net domestic assets have no effects. We recommend higher degrees of cooperation between the Central Bank of Egypt and the institutions responsible for the formulation of financial and commercial policies. we also recommend that the central bank continue monitoring foreign assets and strengthen its supervisory activities on banking institutions.","author":[{"dropping-particle":"","family":"Hassan","given":"Solaiman Saeed","non-dropping-particle":"","parse-names":false,"suffix":""},{"dropping-particle":"","family":"Teleb","given":"Mohammed Abdelazeem","non-dropping-particle":"","parse-names":false,"suffix":""}],"container-title":"African Journal of Economics and Sustainable Development","id":"ITEM-1","issue":"1","issued":{"date-parts":[["2022"]]},"page":"59-74","title":"Money Supply Behavior in Egypt (2004-2019)","type":"article-journal","volume":"5"},"uris":["http://www.mendeley.com/documents/?uuid=8b6953df-1579-4bfb-974c-ec0c2d82b9ec","http://www.mendeley.com/documents/?uuid=4cdb3f75-c842-4890-aad9-0de2dee6bd10"]}],"mendeley":{"formattedCitation":"(Hassan &amp; Teleb, 2022)","manualFormatting":"Hassan &amp; Teleb, 2022;","plainTextFormattedCitation":"(Hassan &amp; Teleb, 2022)","previouslyFormattedCitation":"(Hassan &amp; Teleb, 2022)"},"properties":{"noteIndex":0},"schema":"https://github.com/citation-style-language/schema/raw/master/csl-citation.json"}</w:instrText>
      </w:r>
      <w:r w:rsidR="006348FD">
        <w:fldChar w:fldCharType="separate"/>
      </w:r>
      <w:r w:rsidR="006348FD" w:rsidRPr="00684989">
        <w:rPr>
          <w:noProof/>
        </w:rPr>
        <w:t>Hassan &amp; Teleb, 2022</w:t>
      </w:r>
      <w:r w:rsidR="006348FD">
        <w:rPr>
          <w:noProof/>
        </w:rPr>
        <w:t>;</w:t>
      </w:r>
      <w:r w:rsidR="006348FD">
        <w:fldChar w:fldCharType="end"/>
      </w:r>
      <w:r w:rsidR="006348FD">
        <w:t xml:space="preserve"> </w:t>
      </w:r>
      <w:r w:rsidR="006348FD">
        <w:fldChar w:fldCharType="begin" w:fldLock="1"/>
      </w:r>
      <w:r w:rsidR="00E87A26">
        <w:instrText>ADDIN CSL_CITATION {"citationItems":[{"id":"ITEM-1","itemData":{"DOI":"10.51325/ijbeg.v5i2.86","abstract":"This study examines the effect of the broad money supply (M2) on the per capita economic growth in Palestine using time series data from 2000 to 2020. The study used autoregressive distributed lag model (ARDL), the cointegration approach and the error correction model to investigate the effect of money supply on gross domestic product (GDP) per capita. The model is determined by four macroeconomic variables, namely, gross domestic product (GDP) per capita, broad money supply (M2), gross fixed capital formation (GFCF), and inflation rate (INF). The results show that the money supply, the total capital formation, and the inflation rate have a positive impact on the economic growth in the short run. However, none of these variables affect the economic growth in the long term.","author":[{"dropping-particle":"","family":"Razia","given":"Alaa","non-dropping-particle":"","parse-names":false,"suffix":""},{"dropping-particle":"","family":"Omarya","given":"Mostafa","non-dropping-particle":"","parse-names":false,"suffix":""}],"container-title":"International Journal of Business Ethics and Governance","id":"ITEM-1","issue":"2","issued":{"date-parts":[["2022"]]},"page":"1-10","title":"The Impact of the Broad Money Supply (M2) on Economic Growth per Capita in Palestine","type":"article-journal","volume":"5"},"uris":["http://www.mendeley.com/documents/?uuid=50e6b7c9-5a5e-4174-bac3-7d24d5f35c1b","http://www.mendeley.com/documents/?uuid=5a4cd4ab-8216-43f0-bd16-5f8b337f21fb"]}],"mendeley":{"formattedCitation":"(Razia &amp; Omarya, 2022)","manualFormatting":"Razia &amp; Omarya, 2022)","plainTextFormattedCitation":"(Razia &amp; Omarya, 2022)","previouslyFormattedCitation":"(Razia &amp; Omarya, 2022)"},"properties":{"noteIndex":0},"schema":"https://github.com/citation-style-language/schema/raw/master/csl-citation.json"}</w:instrText>
      </w:r>
      <w:r w:rsidR="006348FD">
        <w:fldChar w:fldCharType="separate"/>
      </w:r>
      <w:r w:rsidR="006348FD" w:rsidRPr="00147A4A">
        <w:rPr>
          <w:noProof/>
        </w:rPr>
        <w:t>Razia &amp; Omarya, 2022)</w:t>
      </w:r>
      <w:r w:rsidR="006348FD">
        <w:fldChar w:fldCharType="end"/>
      </w:r>
      <w:r w:rsidR="00260A61">
        <w:t xml:space="preserve"> showing</w:t>
      </w:r>
      <w:r w:rsidR="006348FD">
        <w:t xml:space="preserve"> </w:t>
      </w:r>
      <w:r w:rsidRPr="007D60CE">
        <w:t>that there is a positive relationship between GDP and the money supply.</w:t>
      </w:r>
    </w:p>
    <w:p w14:paraId="05760E7D" w14:textId="7794F7AF" w:rsidR="00FC0AC3" w:rsidRPr="007D60CE" w:rsidRDefault="00FC0AC3" w:rsidP="00942089">
      <w:pPr>
        <w:rPr>
          <w:b/>
          <w:bCs/>
        </w:rPr>
      </w:pPr>
      <w:r w:rsidRPr="007D60CE">
        <w:t>H3: GDP has a positive effect on the money supply</w:t>
      </w:r>
      <w:r w:rsidR="00260A61">
        <w:t>.</w:t>
      </w:r>
    </w:p>
    <w:p w14:paraId="356724D8" w14:textId="77777777" w:rsidR="00260A61" w:rsidRDefault="00260A61" w:rsidP="00834A52">
      <w:r>
        <w:rPr>
          <w:b/>
          <w:bCs/>
        </w:rPr>
        <w:t>Government Expenditure</w:t>
      </w:r>
    </w:p>
    <w:p w14:paraId="2EF53966" w14:textId="26ED1710" w:rsidR="00FC0AC3" w:rsidRDefault="00FC0AC3" w:rsidP="005C779D">
      <w:pPr>
        <w:ind w:firstLine="567"/>
        <w:jc w:val="both"/>
      </w:pPr>
      <w:r w:rsidRPr="004A03B6">
        <w:t>According to Keynesians, government spending is a powerful tool for managing aggregate demand. Increased government spending can stimulate the economy by increasing aggregate demand. This increase boosts economic growth and increases the demand for money, which increases the money supply. When the government increases its spending, it increases aggregate demand in the economy. Higher aggregate demand can drive increased production and income, which in turn increases the demand for money for transactions, and consequently increases the money supply</w:t>
      </w:r>
      <w:r w:rsidR="006348FD">
        <w:t xml:space="preserve"> </w:t>
      </w:r>
      <w:r w:rsidR="006348FD">
        <w:fldChar w:fldCharType="begin" w:fldLock="1"/>
      </w:r>
      <w:r w:rsidR="00E87A26">
        <w:instrText>ADDIN CSL_CITATION {"citationItems":[{"id":"ITEM-1","itemData":{"ISSN":"15645142","author":[{"dropping-particle":"","family":"Jahan","given":"Sarwat","non-dropping-particle":"","parse-names":false,"suffix":""},{"dropping-particle":"","family":"Mahmud","given":"Ahmed Saber","non-dropping-particle":"","parse-names":false,"suffix":""},{"dropping-particle":"","family":"Papageorgiou","given":"Chris","non-dropping-particle":"","parse-names":false,"suffix":""}],"container-title":"Finance and Development","id":"ITEM-1","issue":"3","issued":{"date-parts":[["2014"]]},"page":"53-54","title":"What is Keynesian economics?","type":"article-journal","volume":"51"},"uris":["http://www.mendeley.com/documents/?uuid=a71f72f3-fc45-4b38-ade8-aa3cdee18f6c","http://www.mendeley.com/documents/?uuid=ab3dbbb6-6388-4500-b309-52f0f777d8ab"]}],"mendeley":{"formattedCitation":"(Jahan et al., 2014)","plainTextFormattedCitation":"(Jahan et al., 2014)","previouslyFormattedCitation":"(Jahan et al., 2014)"},"properties":{"noteIndex":0},"schema":"https://github.com/citation-style-language/schema/raw/master/csl-citation.json"}</w:instrText>
      </w:r>
      <w:r w:rsidR="006348FD">
        <w:fldChar w:fldCharType="separate"/>
      </w:r>
      <w:r w:rsidR="006348FD" w:rsidRPr="008F6542">
        <w:rPr>
          <w:noProof/>
        </w:rPr>
        <w:t xml:space="preserve">(Jahan </w:t>
      </w:r>
      <w:r w:rsidR="006348FD" w:rsidRPr="008F6542">
        <w:rPr>
          <w:i/>
          <w:iCs/>
          <w:noProof/>
        </w:rPr>
        <w:t>et al</w:t>
      </w:r>
      <w:r w:rsidR="006348FD" w:rsidRPr="008F6542">
        <w:rPr>
          <w:noProof/>
        </w:rPr>
        <w:t>., 2014)</w:t>
      </w:r>
      <w:r w:rsidR="006348FD">
        <w:fldChar w:fldCharType="end"/>
      </w:r>
      <w:r w:rsidR="006348FD">
        <w:t xml:space="preserve">. </w:t>
      </w:r>
      <w:r>
        <w:t xml:space="preserve">This is supported </w:t>
      </w:r>
      <w:r w:rsidR="00961641">
        <w:t>by</w:t>
      </w:r>
      <w:r>
        <w:t xml:space="preserve"> research </w:t>
      </w:r>
      <w:r w:rsidR="00961641">
        <w:t xml:space="preserve">by </w:t>
      </w:r>
      <w:r w:rsidR="006348FD">
        <w:fldChar w:fldCharType="begin" w:fldLock="1"/>
      </w:r>
      <w:r w:rsidR="00E87A26">
        <w:instrText>ADDIN CSL_CITATION {"citationItems":[{"id":"ITEM-1","itemData":{"DOI":"10.11647/obp.0157.05","abstract":"The article focuses on the information technology graduates studies at the Georgia State University in Atlanta. Aside from the school's affordable tuition, the curriculum is claimed to be well balanced between technical and business-focused materials. According to Puneet Bhargava, who started evaluating part-time information technology-oriented Master in Business Administration (MBA) programs in the state, case studies being tackled in the classroom widened his vision in the business world. Furthermore, the school has launched a master of science degree in information systems audit and control.","author":[{"dropping-particle":"","family":"Young","given":"Andrew","non-dropping-particle":"","parse-names":false,"suffix":""}],"id":"ITEM-1","issue":"March","issued":{"date-parts":[["2018"]]},"page":"36-45","title":"Georgia State University","type":"article-journal"},"uris":["http://www.mendeley.com/documents/?uuid=9384a172-8683-427b-bb22-b1d672049253","http://www.mendeley.com/documents/?uuid=95b51aa4-5314-4375-b48b-e3f5ac99a4f5"]}],"mendeley":{"formattedCitation":"(Young, 2018)","manualFormatting":"Young (2018)","plainTextFormattedCitation":"(Young, 2018)","previouslyFormattedCitation":"(Young, 2018)"},"properties":{"noteIndex":0},"schema":"https://github.com/citation-style-language/schema/raw/master/csl-citation.json"}</w:instrText>
      </w:r>
      <w:r w:rsidR="006348FD">
        <w:fldChar w:fldCharType="separate"/>
      </w:r>
      <w:r w:rsidR="006348FD" w:rsidRPr="00094F16">
        <w:rPr>
          <w:noProof/>
        </w:rPr>
        <w:t>Young</w:t>
      </w:r>
      <w:r w:rsidR="006348FD">
        <w:rPr>
          <w:noProof/>
        </w:rPr>
        <w:t xml:space="preserve"> (</w:t>
      </w:r>
      <w:r w:rsidR="006348FD" w:rsidRPr="00094F16">
        <w:rPr>
          <w:noProof/>
        </w:rPr>
        <w:t>2018)</w:t>
      </w:r>
      <w:r w:rsidR="006348FD">
        <w:fldChar w:fldCharType="end"/>
      </w:r>
      <w:r w:rsidR="006348FD">
        <w:t xml:space="preserve"> </w:t>
      </w:r>
      <w:r w:rsidR="00961641">
        <w:t>and</w:t>
      </w:r>
      <w:r w:rsidR="006348FD">
        <w:t xml:space="preserve"> </w:t>
      </w:r>
      <w:r w:rsidR="006348FD">
        <w:fldChar w:fldCharType="begin" w:fldLock="1"/>
      </w:r>
      <w:r w:rsidR="00E87A26">
        <w:instrText>ADDIN CSL_CITATION {"citationItems":[{"id":"ITEM-1","itemData":{"DOI":"10.29313/bcses.v3i1.5974","abstract":"Abstract. Indonesia as a developing country cannot be separated from problems related to the economy. Until now, inflation is still an interesting phenomenon to study, especially during the economic crisis and Covid-19. Inflation is getting more and more attention from the government. In this study using quantitative methods. The data used is secondary data and time series in the form of annual data from 1990-2021 obtained from various relevant agencies, namely the Central Bureau of Statistics, and other sources, namely journals and research results. The analysis model used is Multiple Linear Regression analysis. The results of the study explain that the amount of money in circulation has an effect on the level of inflation in Indonesia and has a positive relationship. This is because the amount of money in circulation is a fairly significant element of the state of a country's economy, which is closely related to the level of inflation. Government spending has an effect on the Inflation Rate in Indonesia and has a positive relationship. This is because government spending is part of fiscal policy, namely a government action to regulate the course of the economy by determining the amount of government revenue and spending each year.Keywords: Money Supply, Government Spending, Inflation RateAbstrak. Indonesia sebagai salah satu negara berkembang tidak terlepas dari masalah - masalah yang berkaitan dengan ekonomi.Sampai saat ini inflasi masih merupakan fenomena yang menarik diteliti terutama saat terjadinya krisis ekonomi dan covid-19. Inflasi semakin mendapatkan perhatian dari pemerintah. Penelitian ini menggunakan metode kuantitatif. Data yang digunakan merupakan data sekunder dan time series dalam bentuk data tahunan dari tahun 1990-2021 yang diperoleh dari berbagai instansi terkait yaitu, Badan Pusat Statistik, dan sumber – sumber lainnya yaitu jurnal-jurnal dan hasil penelitian. Model analisis yang digunakan yaitu analisis Regresi Linier Berganda .Hasil penelitian menjelaskan bahwaJumlah Uang Beredarberpengaruh terhadap Tingkat Inflasi di Indonesia dan mempunyai hubungan yang positif Hal ini dikarenakan Jumlah uang beredar merupakan unsur yang cukup signifikan terhadap keadaan perekonomian suatu negara yaitu erat hubungannya dengan tingkatinflasi. Pengeluaran Pemerintah berpengaruh terhadap Tingkat Inflasi di Indonesia dan mempunyai hubungan yang positif, Hal ini dikarenakan pengeluaran pemerintah merupakan bagian dari kebijakan fiskal yaitu suatu ti…","author":[{"dropping-particle":"","family":"Apryansyah","given":"Rangga","non-dropping-particle":"","parse-names":false,"suffix":""},{"dropping-particle":"","family":"Amaliah","given":"Ima","non-dropping-particle":"","parse-names":false,"suffix":""}],"container-title":"Bandung Conference Series: Economics Studies","id":"ITEM-1","issue":"1","issued":{"date-parts":[["2023"]]},"page":"71-78","title":"Pengaruh Jumlah Uang Beredar dan Pengeluaran Pemerintah Terhadap Tingkat Inflasi di Indonesia Periode Tahun 1990-2021","type":"article-journal","volume":"3"},"uris":["http://www.mendeley.com/documents/?uuid=00c0d002-ad74-4e62-873a-338ce20b7922","http://www.mendeley.com/documents/?uuid=3694af56-3124-462e-9bbf-f4cb85f43720"]}],"mendeley":{"formattedCitation":"(Apryansyah &amp; Amaliah, 2023)","manualFormatting":"Apryansyah &amp; Amaliah, (2023)","plainTextFormattedCitation":"(Apryansyah &amp; Amaliah, 2023)","previouslyFormattedCitation":"(Apryansyah &amp; Amaliah, 2023)"},"properties":{"noteIndex":0},"schema":"https://github.com/citation-style-language/schema/raw/master/csl-citation.json"}</w:instrText>
      </w:r>
      <w:r w:rsidR="006348FD">
        <w:fldChar w:fldCharType="separate"/>
      </w:r>
      <w:r w:rsidR="006348FD" w:rsidRPr="003160CE">
        <w:rPr>
          <w:noProof/>
        </w:rPr>
        <w:t xml:space="preserve">Apryansyah &amp; Amaliah, </w:t>
      </w:r>
      <w:r w:rsidR="006348FD">
        <w:rPr>
          <w:noProof/>
        </w:rPr>
        <w:t>(</w:t>
      </w:r>
      <w:r w:rsidR="006348FD" w:rsidRPr="003160CE">
        <w:rPr>
          <w:noProof/>
        </w:rPr>
        <w:t>2023)</w:t>
      </w:r>
      <w:r w:rsidR="006348FD">
        <w:fldChar w:fldCharType="end"/>
      </w:r>
      <w:r w:rsidR="00961641">
        <w:t>, who</w:t>
      </w:r>
      <w:r w:rsidR="006348FD">
        <w:t xml:space="preserve"> </w:t>
      </w:r>
      <w:r>
        <w:t>found that there was a positive relationship between government spending and the money supply.</w:t>
      </w:r>
    </w:p>
    <w:p w14:paraId="10A7D99F" w14:textId="709A94BB" w:rsidR="00FC0AC3" w:rsidRPr="004A03B6" w:rsidRDefault="00FC0AC3" w:rsidP="005C779D">
      <w:pPr>
        <w:jc w:val="both"/>
      </w:pPr>
      <w:r>
        <w:t>H4: Government spending has a positive effect on the money supply</w:t>
      </w:r>
      <w:r w:rsidR="00961641">
        <w:t>.</w:t>
      </w:r>
    </w:p>
    <w:p w14:paraId="2009E0FC" w14:textId="77777777" w:rsidR="00FC0AC3" w:rsidRDefault="00FC0AC3" w:rsidP="00D64377">
      <w:pPr>
        <w:rPr>
          <w:b/>
          <w:bCs/>
        </w:rPr>
      </w:pPr>
      <w:r>
        <w:rPr>
          <w:b/>
          <w:bCs/>
        </w:rPr>
        <w:t>Inflation</w:t>
      </w:r>
    </w:p>
    <w:p w14:paraId="398DC793" w14:textId="7548B48E" w:rsidR="006348FD" w:rsidRDefault="00FC0AC3" w:rsidP="006348FD">
      <w:pPr>
        <w:tabs>
          <w:tab w:val="left" w:pos="567"/>
        </w:tabs>
        <w:ind w:firstLine="567"/>
        <w:jc w:val="both"/>
      </w:pPr>
      <w:r w:rsidRPr="00FA2589">
        <w:t xml:space="preserve">Cash </w:t>
      </w:r>
      <w:r w:rsidRPr="00935A4A">
        <w:rPr>
          <w:i/>
          <w:iCs/>
        </w:rPr>
        <w:t xml:space="preserve">balance theory </w:t>
      </w:r>
      <w:r w:rsidRPr="00FA2589">
        <w:t>from Alfred Marshall. Alfred Marshall was the first person from Cambridge University to explain the theory of money quantity and research the relationship between the money supply and inflation. According to Marshall, the amount of money circulating in the community actually does not include the money owned by the community as a whole, because there are still some that are held in cash</w:t>
      </w:r>
      <w:r w:rsidR="006348FD">
        <w:t xml:space="preserve"> </w:t>
      </w:r>
      <w:r w:rsidR="006348FD">
        <w:fldChar w:fldCharType="begin" w:fldLock="1"/>
      </w:r>
      <w:r w:rsidR="00E87A26">
        <w:instrText>ADDIN CSL_CITATION {"citationItems":[{"id":"ITEM-1","itemData":{"author":[{"dropping-particle":"","family":"Mitchell","given":"Wesley C.","non-dropping-particle":"","parse-names":false,"suffix":""}],"container-title":"JSTOR","id":"ITEM-1","issued":{"date-parts":[["1896"]]},"title":"The Quantitiy Theory of the Value of Money","type":"article-journal"},"uris":["http://www.mendeley.com/documents/?uuid=6b42d985-752f-4a7c-8079-1a753e9ed209","http://www.mendeley.com/documents/?uuid=36762d15-32c4-49c3-a6ea-184d889819bd"]}],"mendeley":{"formattedCitation":"(Mitchell, 1896)","plainTextFormattedCitation":"(Mitchell, 1896)","previouslyFormattedCitation":"(Mitchell, 1896)"},"properties":{"noteIndex":0},"schema":"https://github.com/citation-style-language/schema/raw/master/csl-citation.json"}</w:instrText>
      </w:r>
      <w:r w:rsidR="006348FD">
        <w:fldChar w:fldCharType="separate"/>
      </w:r>
      <w:r w:rsidR="006348FD" w:rsidRPr="00935A4A">
        <w:rPr>
          <w:noProof/>
        </w:rPr>
        <w:t>(Mitchell, 1896)</w:t>
      </w:r>
      <w:r w:rsidR="006348FD">
        <w:fldChar w:fldCharType="end"/>
      </w:r>
      <w:r w:rsidR="006348FD">
        <w:t>.</w:t>
      </w:r>
    </w:p>
    <w:p w14:paraId="0F2E33F6" w14:textId="75CC95A6" w:rsidR="006348FD" w:rsidRDefault="00FC0AC3" w:rsidP="006348FD">
      <w:pPr>
        <w:tabs>
          <w:tab w:val="left" w:pos="567"/>
        </w:tabs>
        <w:ind w:firstLine="567"/>
        <w:jc w:val="both"/>
      </w:pPr>
      <w:r>
        <w:t xml:space="preserve">Inflation will become a serious economic problem when </w:t>
      </w:r>
      <w:r w:rsidR="00961641">
        <w:t>it</w:t>
      </w:r>
      <w:r>
        <w:t xml:space="preserve"> lasts for a long period of time and inflation is high. The increase in the price of goods can cause the public's need for larger denominations of money to increase. Classical quantity theory says that a continuous trend of rising prices in general can occur when inflation and the increase in the money supply exceed actual needs</w:t>
      </w:r>
      <w:r w:rsidR="006348FD">
        <w:t xml:space="preserve"> </w:t>
      </w:r>
      <w:r w:rsidR="006348FD">
        <w:fldChar w:fldCharType="begin" w:fldLock="1"/>
      </w:r>
      <w:r w:rsidR="00E87A26">
        <w:instrText>ADDIN CSL_CITATION {"citationItems":[{"id":"ITEM-1","itemData":{"DOI":"10.22225/we.22.2.2023.124-131","ISSN":"1978-4007","abstract":"The The research aims to determine the effect of gross domestic product (GDP) and inflation on the total money supply (JUB) in Indonesia. This study uses timeseries data from 1980 to 2020 obtained from the Central Bureau of Statistics, and Bank Indonesia. This study uses a classical approach. The research was conducted using multiple linear regression. Hypothesis testing using the t test and f test is used to determine the feasibility of the model. The results of the analysis show that the Gross Domestic Product Variable (X1) partially has a positive and significant effect on the Money Supply in Indonesia. The Inflation Variable (X2) partially influences the Money Supply in Indonesia. Based on the analysis of the Simultaneous Test value prob. F of 0.00 &lt; error rate of 0.05. Thus, Ho is rejected and H1 is accepted. This shows that the Gross Domestic Product (X1) Inflation (X2), simultaneously has a significant effect on the Money Supply in Indonesia, because F count is 36.07 &gt; 3.25 F table and the Adjusted R Square coefficient or the coefficient of determination is 0.7452 This means 74.52% of the variation or change in the total money supply can be explained by variations in Gross Domestic Product and Inflation, while the rest (25.48%) is explained by other variables outside this research model. This is consistent with the quantity theory of money. According to the quantity theory of money, according to Irving Fisher, it states that the amount in circulation is directly proportional to changes in prices.\r  ","author":[{"dropping-particle":"","family":"Ghalib","given":"Arkan Daffa","non-dropping-particle":"","parse-names":false,"suffix":""},{"dropping-particle":"","family":"Damayanti","given":"D.","non-dropping-particle":"","parse-names":false,"suffix":""},{"dropping-particle":"","family":"Nur Shava","given":"Widy Shity","non-dropping-particle":"","parse-names":false,"suffix":""}],"container-title":"WACANA EKONOMI (Jurnal Ekonomi, Bisnis dan Akuntansi)","id":"ITEM-1","issue":"2","issued":{"date-parts":[["2023"]]},"page":"124-131","title":"Pengaruh Produk Domestik Bruto dan Inflasi Terhadap Jumlah Uang Beredar (M1) di Indonesia Periode 1980 – 2020 Menurut Pendekatan Klasik","type":"article-journal","volume":"22"},"uris":["http://www.mendeley.com/documents/?uuid=7b0c2770-1fa0-492f-9a8f-8350f112e0de","http://www.mendeley.com/documents/?uuid=035f4cb1-967b-4175-a32e-26350c8d54f0"]}],"mendeley":{"formattedCitation":"(Ghalib et al., 2023)","plainTextFormattedCitation":"(Ghalib et al., 2023)","previouslyFormattedCitation":"(Ghalib et al., 2023)"},"properties":{"noteIndex":0},"schema":"https://github.com/citation-style-language/schema/raw/master/csl-citation.json"}</w:instrText>
      </w:r>
      <w:r w:rsidR="006348FD">
        <w:fldChar w:fldCharType="separate"/>
      </w:r>
      <w:r w:rsidR="006348FD" w:rsidRPr="009B062D">
        <w:rPr>
          <w:noProof/>
        </w:rPr>
        <w:t xml:space="preserve">(Ghalib </w:t>
      </w:r>
      <w:r w:rsidR="006348FD" w:rsidRPr="009B062D">
        <w:rPr>
          <w:i/>
          <w:iCs/>
          <w:noProof/>
        </w:rPr>
        <w:t>et al</w:t>
      </w:r>
      <w:r w:rsidR="006348FD" w:rsidRPr="009B062D">
        <w:rPr>
          <w:noProof/>
        </w:rPr>
        <w:t>., 2023)</w:t>
      </w:r>
      <w:r w:rsidR="006348FD">
        <w:fldChar w:fldCharType="end"/>
      </w:r>
      <w:r w:rsidR="006348FD">
        <w:t>.</w:t>
      </w:r>
    </w:p>
    <w:p w14:paraId="2722853D" w14:textId="445806F4" w:rsidR="00FC0AC3" w:rsidRDefault="00FC0AC3" w:rsidP="00680304">
      <w:pPr>
        <w:tabs>
          <w:tab w:val="left" w:pos="567"/>
        </w:tabs>
        <w:ind w:firstLine="567"/>
        <w:jc w:val="both"/>
      </w:pPr>
      <w:r>
        <w:t>If the amount of money in circulation exceeds what the community wants, people tend to spend their money by increasing</w:t>
      </w:r>
      <w:r w:rsidR="00961641">
        <w:t xml:space="preserve"> their</w:t>
      </w:r>
      <w:r>
        <w:t xml:space="preserve"> consumption of goods and services. However, if production capacity is saturated, the increase in demand for goods and services will in turn increase inflation. People want to hold money for the purpose of goods and service transactions </w:t>
      </w:r>
      <w:r w:rsidR="006348FD">
        <w:fldChar w:fldCharType="begin" w:fldLock="1"/>
      </w:r>
      <w:r w:rsidR="00E87A26">
        <w:instrText>ADDIN CSL_CITATION {"citationItems":[{"id":"ITEM-1","itemData":{"author":[{"dropping-particle":"","family":"Parulian","given":"Tohap","non-dropping-particle":"","parse-names":false,"suffix":""},{"dropping-particle":"","family":"Utami","given":"Fuji","non-dropping-particle":"","parse-names":false,"suffix":""}],"container-title":"Jesya","id":"ITEM-1","issue":"1","issued":{"date-parts":[["2024"]]},"page":"chrome-extension://efaidnbmnnnibpcajpcglclefindmka","title":"Pengaruh Inflasi, Tingkat Suku Bunga, dan E-Money terhadap Jumlah Uang Beredar di Indonesia","type":"article-journal","volume":"7"},"uris":["http://www.mendeley.com/documents/?uuid=c41d17cc-47e4-4488-8482-6ab1a26205f1","http://www.mendeley.com/documents/?uuid=bb7faeca-d00b-436b-8807-f7709189e5d4"]}],"mendeley":{"formattedCitation":"(Parulian &amp; Utami, 2024)","plainTextFormattedCitation":"(Parulian &amp; Utami, 2024)","previouslyFormattedCitation":"(Parulian &amp; Utami, 2024)"},"properties":{"noteIndex":0},"schema":"https://github.com/citation-style-language/schema/raw/master/csl-citation.json"}</w:instrText>
      </w:r>
      <w:r w:rsidR="006348FD">
        <w:fldChar w:fldCharType="separate"/>
      </w:r>
      <w:r w:rsidR="006348FD" w:rsidRPr="00962397">
        <w:rPr>
          <w:noProof/>
        </w:rPr>
        <w:t>(Parulian &amp; Utami, 2024)</w:t>
      </w:r>
      <w:r w:rsidR="006348FD">
        <w:fldChar w:fldCharType="end"/>
      </w:r>
      <w:r w:rsidR="006348FD">
        <w:t xml:space="preserve">. </w:t>
      </w:r>
      <w:r>
        <w:t xml:space="preserve">If the price of goods and services rises, the trend that occurs is that people will be </w:t>
      </w:r>
      <w:proofErr w:type="spellStart"/>
      <w:r>
        <w:t>morehappy</w:t>
      </w:r>
      <w:proofErr w:type="spellEnd"/>
      <w:r>
        <w:t xml:space="preserve"> to hold money. When inflation occurs, it means that the amount of money circulating in society is abundant, resulting in the value of the currency </w:t>
      </w:r>
      <w:r w:rsidR="00961641">
        <w:t>falling</w:t>
      </w:r>
      <w:r>
        <w:t xml:space="preserve">. If inflation falls, the money supply in circulation in society also drops </w:t>
      </w:r>
      <w:r w:rsidR="006348FD">
        <w:fldChar w:fldCharType="begin" w:fldLock="1"/>
      </w:r>
      <w:r w:rsidR="00E87A26">
        <w:instrText>ADDIN CSL_CITATION {"citationItems":[{"id":"ITEM-1","itemData":{"DOI":"10.35313/ekspansi.v11i2.1608","ISSN":"2085-5230","abstract":"ABSTRACTNowadays, Non-cash transactions are increasingly used in transactions. Besides being more practical, easy and fast, non-cash transactions influence monetary policy in Indonesia. In monetary policy, non-cash transactions affect the level of money supply. Also besides, other factors can affect the money supply, namely inflation. Non-cash transactions in this study use a debit ATM, credit ATM, and electronic money. The purpose of this study is to obtain evidence of the effect of non-cash transactions on the money supply in Indonesia with inflation as a moderating variable during 2015-2018. Data collection is based on secondary data and the analysis technique used was Moderating Regression Analysis (MRA) test. Based on the results of research conducted, non-cash transactions have a positive and significant effect on the money supply and inflation can strengthen the relationship of non-cash transactions to the money supply.Keywords: non-cash transactions; Debit ATM. ATM credit, electronic money, inflation, money supply (M1) ABSTRAKTransaksi non tunai kini semakin banyak digunakan dalam bertransaksi. Selain lebih praktis, mudah dan cepat, transaksi non tunai memiliki pengaruh terhadap kebijakan moneter di Indonesia. Dalam kebijakan moneter, transaksi non tunai mempengaruhi tingkat jumlah uang beredar di masyarakat. Selain itu, terdapat faktor lain yang dapat mempengaruhi jumlah uang beredar yaitu inflasi. Transaksi non tunai pada penelitian ini menggunakan ATM debet, ATM kredit dan uang elektronik. Tujuan penelitian ini adalah untuk mendapatkan bukti pengaruh transaksi non tunai terhadap jumlah uang beredar di Indonesia dengan inflasi sebagai variabel moderasi selama tahun 2015- 2018. Pengumpulan data menggunakan data sekunder dan teknik analisis yang digunakan adalah uji Moderating Regression Analysis (MRA). Berdasarkan hasil penelitian yang telah dilakukan adalah transaksi non tunai memiliki pengaruh positif dan signifikan terhadap jumlah uang beredar dan inflasi mampu memperkuat hubungan transaksi non tunai terhadap jumlah uang beredar. Kata Kunci: transaksi non tunai; ATM debet. ATM kredit, uang eletronik, inflasi, jumlah uang beredar (M1)","author":[{"dropping-particle":"","family":"Fatmawati","given":"Meilinda Nur Rasyida","non-dropping-particle":"","parse-names":false,"suffix":""},{"dropping-particle":"","family":"Yuliana","given":"Indah","non-dropping-particle":"","parse-names":false,"suffix":""}],"container-title":"Ekspansi: Jurnal Ekonomi, Keuangan, Perbankan dan Akuntansi","id":"ITEM-1","issue":"2","issued":{"date-parts":[["2019"]]},"page":"269-283","title":"Pengaruh Transaksi Non Tunai Terhadap Jumlah Uang Beredar Di Indonesia Tahun 2015- 2018 Dengan Inflasi Sebagai Variabel Moderasi","type":"article-journal","volume":"11"},"uris":["http://www.mendeley.com/documents/?uuid=6f26a109-1e3d-4ae0-b2fe-c5c95d489225","http://www.mendeley.com/documents/?uuid=beb30805-f9b9-4d13-8415-8c34c4d22f07"]}],"mendeley":{"formattedCitation":"(Fatmawati &amp; Yuliana, 2019)","plainTextFormattedCitation":"(Fatmawati &amp; Yuliana, 2019)","previouslyFormattedCitation":"(Fatmawati &amp; Yuliana, 2019)"},"properties":{"noteIndex":0},"schema":"https://github.com/citation-style-language/schema/raw/master/csl-citation.json"}</w:instrText>
      </w:r>
      <w:r w:rsidR="006348FD">
        <w:fldChar w:fldCharType="separate"/>
      </w:r>
      <w:r w:rsidR="006348FD" w:rsidRPr="00CA2FE0">
        <w:rPr>
          <w:noProof/>
        </w:rPr>
        <w:t>(Fatmawati &amp; Yuliana, 2019)</w:t>
      </w:r>
      <w:r w:rsidR="006348FD">
        <w:fldChar w:fldCharType="end"/>
      </w:r>
      <w:r w:rsidR="006348FD">
        <w:t xml:space="preserve">. </w:t>
      </w:r>
      <w:r>
        <w:t xml:space="preserve">This is supported by research </w:t>
      </w:r>
      <w:r w:rsidR="006348FD">
        <w:t>(</w:t>
      </w:r>
      <w:r w:rsidR="006348FD">
        <w:fldChar w:fldCharType="begin" w:fldLock="1"/>
      </w:r>
      <w:r w:rsidR="00E87A26">
        <w:instrText>ADDIN CSL_CITATION {"citationItems":[{"id":"ITEM-1","itemData":{"DOI":"10.22225/we.22.2.2023.124-131","ISSN":"1978-4007","abstract":"The The research aims to determine the effect of gross domestic product (GDP) and inflation on the total money supply (JUB) in Indonesia. This study uses timeseries data from 1980 to 2020 obtained from the Central Bureau of Statistics, and Bank Indonesia. This study uses a classical approach. The research was conducted using multiple linear regression. Hypothesis testing using the t test and f test is used to determine the feasibility of the model. The results of the analysis show that the Gross Domestic Product Variable (X1) partially has a positive and significant effect on the Money Supply in Indonesia. The Inflation Variable (X2) partially influences the Money Supply in Indonesia. Based on the analysis of the Simultaneous Test value prob. F of 0.00 &lt; error rate of 0.05. Thus, Ho is rejected and H1 is accepted. This shows that the Gross Domestic Product (X1) Inflation (X2), simultaneously has a significant effect on the Money Supply in Indonesia, because F count is 36.07 &gt; 3.25 F table and the Adjusted R Square coefficient or the coefficient of determination is 0.7452 This means 74.52% of the variation or change in the total money supply can be explained by variations in Gross Domestic Product and Inflation, while the rest (25.48%) is explained by other variables outside this research model. This is consistent with the quantity theory of money. According to the quantity theory of money, according to Irving Fisher, it states that the amount in circulation is directly proportional to changes in prices.\r  ","author":[{"dropping-particle":"","family":"Ghalib","given":"Arkan Daffa","non-dropping-particle":"","parse-names":false,"suffix":""},{"dropping-particle":"","family":"Damayanti","given":"D.","non-dropping-particle":"","parse-names":false,"suffix":""},{"dropping-particle":"","family":"Nur Shava","given":"Widy Shity","non-dropping-particle":"","parse-names":false,"suffix":""}],"container-title":"WACANA EKONOMI (Jurnal Ekonomi, Bisnis dan Akuntansi)","id":"ITEM-1","issue":"2","issued":{"date-parts":[["2023"]]},"page":"124-131","title":"Pengaruh Produk Domestik Bruto dan Inflasi Terhadap Jumlah Uang Beredar (M1) di Indonesia Periode 1980 – 2020 Menurut Pendekatan Klasik","type":"article-journal","volume":"22"},"uris":["http://www.mendeley.com/documents/?uuid=035f4cb1-967b-4175-a32e-26350c8d54f0","http://www.mendeley.com/documents/?uuid=7b0c2770-1fa0-492f-9a8f-8350f112e0de"]}],"mendeley":{"formattedCitation":"(Ghalib et al., 2023)","manualFormatting":"Ghalib et al., 2023","plainTextFormattedCitation":"(Ghalib et al., 2023)","previouslyFormattedCitation":"(Ghalib et al., 2023)"},"properties":{"noteIndex":0},"schema":"https://github.com/citation-style-language/schema/raw/master/csl-citation.json"}</w:instrText>
      </w:r>
      <w:r w:rsidR="006348FD">
        <w:fldChar w:fldCharType="separate"/>
      </w:r>
      <w:r w:rsidR="006348FD" w:rsidRPr="00562F8C">
        <w:rPr>
          <w:noProof/>
        </w:rPr>
        <w:t xml:space="preserve">Ghalib </w:t>
      </w:r>
      <w:r w:rsidR="006348FD" w:rsidRPr="00562F8C">
        <w:rPr>
          <w:i/>
          <w:iCs/>
          <w:noProof/>
        </w:rPr>
        <w:t>et al</w:t>
      </w:r>
      <w:r w:rsidR="006348FD" w:rsidRPr="00562F8C">
        <w:rPr>
          <w:noProof/>
        </w:rPr>
        <w:t xml:space="preserve">., </w:t>
      </w:r>
      <w:r w:rsidR="006348FD">
        <w:rPr>
          <w:noProof/>
        </w:rPr>
        <w:t>2</w:t>
      </w:r>
      <w:r w:rsidR="006348FD" w:rsidRPr="00562F8C">
        <w:rPr>
          <w:noProof/>
        </w:rPr>
        <w:t>023</w:t>
      </w:r>
      <w:r w:rsidR="006348FD">
        <w:fldChar w:fldCharType="end"/>
      </w:r>
      <w:r w:rsidR="006348FD">
        <w:t xml:space="preserve">; </w:t>
      </w:r>
      <w:r w:rsidR="006348FD">
        <w:fldChar w:fldCharType="begin" w:fldLock="1"/>
      </w:r>
      <w:r w:rsidR="00E87A26">
        <w:instrText>ADDIN CSL_CITATION {"citationItems":[{"id":"ITEM-1","itemData":{"DOI":"10.20473/jeba.v30i12020.39-48","ISSN":"2338-2686","abstract":"Introduction: Monetary policy is one of the main instruments of macroeconomic policy. The government with monetary policy is able toinfluence the level of economic growth, employment, and the rate of inflation. The one of main monetary policy is controlling the money supply. Money supply has a widespread impact on other macro variables. This study analyzes the effect of the money supply to variable inflationand interest rates, as well as the effects of inflation and interest rates to investment and economic growth in Indonesia. Methods: This study used analysis of TSLS (Two Stages Least Square). The data used in Times Series. Data for the period 1973 until 2012.Results: From the tests showed that there was a significant effect ofmoney supply to inflation and interest rates. Inflation and interest rateshas no effect on investment in Indonesia partially. While there was thesimultaneous effect of inflation and interest rates to Investment inIndonesia. The research showed that significantly the investmentinfluence economic growth in Indonesia.Conclusion and suggestion: Research indicates that the variable in the money supply directly or indirectly have an impact on economic growthin a country, thus appropriate monetary policy should be given such a broad impact in an economy.","author":[{"dropping-particle":"","family":"Prasasti","given":"Karari Budi","non-dropping-particle":"","parse-names":false,"suffix":""},{"dropping-particle":"","family":"Slamet","given":"Edy Juwono","non-dropping-particle":"","parse-names":false,"suffix":""}],"container-title":"Jurnal Ekonomi dan Bisnis Airlangga","id":"ITEM-1","issue":"1","issued":{"date-parts":[["2020"]]},"page":"39","title":"Pengaruh Jumlah Uang Beredar Terhadap Inflasi Dan Suku Bunga, Serta Terhadap Investasi Dan Pertumbuhan Ekonomi Di Indonesia","type":"article-journal","volume":"30"},"uris":["http://www.mendeley.com/documents/?uuid=496ab66b-6569-4ddf-beb7-ccf0e3401ac7","http://www.mendeley.com/documents/?uuid=01cf0136-50cf-4c8f-8d5b-b3a4d8afb807"]}],"mendeley":{"formattedCitation":"(Prasasti &amp; Slamet, 2020)","manualFormatting":"Prasasti &amp; Slamet, 2020;","plainTextFormattedCitation":"(Prasasti &amp; Slamet, 2020)","previouslyFormattedCitation":"(Prasasti &amp; Slamet, 2020)"},"properties":{"noteIndex":0},"schema":"https://github.com/citation-style-language/schema/raw/master/csl-citation.json"}</w:instrText>
      </w:r>
      <w:r w:rsidR="006348FD">
        <w:fldChar w:fldCharType="separate"/>
      </w:r>
      <w:r w:rsidR="006348FD" w:rsidRPr="00FA5B21">
        <w:rPr>
          <w:noProof/>
        </w:rPr>
        <w:t>Prasasti &amp; Slamet, 2020</w:t>
      </w:r>
      <w:r w:rsidR="006348FD">
        <w:rPr>
          <w:noProof/>
        </w:rPr>
        <w:t>;</w:t>
      </w:r>
      <w:r w:rsidR="006348FD">
        <w:fldChar w:fldCharType="end"/>
      </w:r>
      <w:r w:rsidR="006348FD">
        <w:t xml:space="preserve"> </w:t>
      </w:r>
      <w:r w:rsidR="006348FD">
        <w:fldChar w:fldCharType="begin" w:fldLock="1"/>
      </w:r>
      <w:r w:rsidR="00004B81">
        <w:instrText>ADDIN CSL_CITATION {"citationItems":[{"id":"ITEM-1","itemData":{"DOI":"10.58192/profit.v1i3.324","ISSN":"2963-4989","abstract":"The purpose of this study was to determine the effect of inflation, interest rates and investment on the money supply in Indonesia from 1991 to 2021. The money supply (JUB) is the total value of money in the hands of the public, consisting of currency and demand deposits. Theoretically, the money supply will affect the value of money implemented at the price and product levels. Factors that affect the money supply are income, inflation, interest. Therefore, the method that can be used is the Error Correction Model (ECM). and the data used is quantitative data, because the data is used to calculate the effect on the variable amount of money in circulation. The data source used is in the form of secondary data, which is data obtained from official sites or websites. The results of this study are that the variable inflation and interest rates have a significant effect on the amount of money in circulation, then the investment variable has no effect and is not significant on the amount of money in circulation","author":[{"dropping-particle":"","family":"Hafizh","given":"Ahmad","non-dropping-particle":"Al","parse-names":false,"suffix":""}],"container-title":"Profit: Jurnal Manajemen, Bisnis dan Akuntansi","id":"ITEM-1","issue":"3","issued":{"date-parts":[["2022"]]},"page":"63-73","title":"Analisis Pengaruh Inflasi, Suku Bunga (Sb) Dan Investasi Terhadap Jumlah Uang Beredar (Jub) Di Indonesia Tahun 1991 - 2022","type":"article-journal","volume":"1"},"uris":["http://www.mendeley.com/documents/?uuid=710a4318-dca9-46e2-ab48-0aaf831aa8ee"]}],"mendeley":{"formattedCitation":"(Al Hafizh, 2022)","manualFormatting":"Al Hafizh, 2022)","plainTextFormattedCitation":"(Al Hafizh, 2022)","previouslyFormattedCitation":"(Al Hafizh, 2022)"},"properties":{"noteIndex":0},"schema":"https://github.com/citation-style-language/schema/raw/master/csl-citation.json"}</w:instrText>
      </w:r>
      <w:r w:rsidR="006348FD">
        <w:fldChar w:fldCharType="separate"/>
      </w:r>
      <w:r w:rsidR="006348FD" w:rsidRPr="00DE78C0">
        <w:rPr>
          <w:noProof/>
        </w:rPr>
        <w:t>Al Hafizh, 2022)</w:t>
      </w:r>
      <w:r w:rsidR="006348FD">
        <w:fldChar w:fldCharType="end"/>
      </w:r>
      <w:r w:rsidR="006348FD">
        <w:t xml:space="preserve"> </w:t>
      </w:r>
      <w:r w:rsidR="00961641">
        <w:t xml:space="preserve">showing </w:t>
      </w:r>
      <w:r>
        <w:t>that inflation has a positive effect on the money supply. Findings differ in the study</w:t>
      </w:r>
      <w:r w:rsidR="00961641">
        <w:t xml:space="preserve"> by</w:t>
      </w:r>
      <w:r>
        <w:t xml:space="preserve"> </w:t>
      </w:r>
      <w:r w:rsidR="006348FD">
        <w:fldChar w:fldCharType="begin" w:fldLock="1"/>
      </w:r>
      <w:r w:rsidR="00E87A26">
        <w:instrText>ADDIN CSL_CITATION {"citationItems":[{"id":"ITEM-1","itemData":{"DOI":"10.26417/ejms.v1i1.p294-302","ISSN":"2414-8377","abstract":"The aim of this paper is to present different approaches and theories, which are linked with money and inflation. Many studies are made to provide a high relationship of money and inflation. The changes in money supply always have affected the macroeconomic indicators such as inflation, unemployment, economic growth, trades and have let the governments to conduct the necessary fiscal and monetary policies, in order to react in an efficient way to reduce uncertainty and to build a sustainable economy. The paper analyses the theoretical links of money supply with unemployment, trade and exchange rate, taxes and wages. The regression analysis is conducted based on the theories of money. The analysis and the empirical results for Albania showed that money supply has strong relationship with economic growth, interest rate and inflation, but money supply has a negative sign toward inflation, by arguing that the case of Albania is specific, because of lack of money supply from banking system and money in circulation outside banks. From the results, we found that all money supplied by the financial system is fully absorbed by the private sector and individuals, without causing an increase on the inflation level. This may be argued from the financial crisis that affected Albania and the reduction of production, consumption, unemployment and delayed payments from the government toward business sector. Furthermore, there are suggested monetary policies for increasing the supply of money, and fiscal policies for increasing the demand for goods and services. The supply increases by the demand side, which need to be stimulated by production sector through fiscal policies and government development programs","author":[{"dropping-particle":"","family":"Koti","given":"Sorina","non-dropping-particle":"","parse-names":false,"suffix":""},{"dropping-particle":"","family":"Bixho","given":"Tomi","non-dropping-particle":"","parse-names":false,"suffix":""}],"container-title":"European Journal of Multidisciplinary Studies","id":"ITEM-1","issue":"1","issued":{"date-parts":[["2016"]]},"page":"294","title":"Theories of Money Supply: The Relationship of Money Supply in a Period of Time T-1 and Inflation in Period T- Empirical Evidence from Albania","type":"article-journal","volume":"1"},"uris":["http://www.mendeley.com/documents/?uuid=05cc5f46-47e8-43d5-8aa0-e16111293e95","http://www.mendeley.com/documents/?uuid=ef45a2b2-495e-49eb-9448-a6d95117d876"]}],"mendeley":{"formattedCitation":"(Koti &amp; Bixho, 2016)","manualFormatting":"Koti &amp; Bixho, (2016)","plainTextFormattedCitation":"(Koti &amp; Bixho, 2016)","previouslyFormattedCitation":"(Koti &amp; Bixho, 2016)"},"properties":{"noteIndex":0},"schema":"https://github.com/citation-style-language/schema/raw/master/csl-citation.json"}</w:instrText>
      </w:r>
      <w:r w:rsidR="006348FD">
        <w:fldChar w:fldCharType="separate"/>
      </w:r>
      <w:r w:rsidR="006348FD" w:rsidRPr="00650E78">
        <w:rPr>
          <w:noProof/>
        </w:rPr>
        <w:t xml:space="preserve">Koti &amp; Bixho, </w:t>
      </w:r>
      <w:r w:rsidR="006348FD">
        <w:rPr>
          <w:noProof/>
        </w:rPr>
        <w:t>(</w:t>
      </w:r>
      <w:r w:rsidR="006348FD" w:rsidRPr="00650E78">
        <w:rPr>
          <w:noProof/>
        </w:rPr>
        <w:t>2016)</w:t>
      </w:r>
      <w:r w:rsidR="006348FD">
        <w:fldChar w:fldCharType="end"/>
      </w:r>
      <w:r w:rsidR="00CE7F2C">
        <w:t>, which found</w:t>
      </w:r>
      <w:r w:rsidR="006348FD">
        <w:t xml:space="preserve"> </w:t>
      </w:r>
      <w:r>
        <w:t>that inflation has a negative influence on the money supply.</w:t>
      </w:r>
    </w:p>
    <w:p w14:paraId="725E3153" w14:textId="000F9364" w:rsidR="00FC0AC3" w:rsidRPr="00CF5CC4" w:rsidRDefault="00FC0AC3" w:rsidP="00680304">
      <w:pPr>
        <w:tabs>
          <w:tab w:val="left" w:pos="567"/>
        </w:tabs>
        <w:jc w:val="both"/>
      </w:pPr>
      <w:r>
        <w:t>H5: Inflation has a positive effect on the money supply</w:t>
      </w:r>
      <w:r w:rsidR="00CE7F2C">
        <w:t>.</w:t>
      </w:r>
    </w:p>
    <w:p w14:paraId="3B23FF31" w14:textId="371F4EE8" w:rsidR="00FC0AC3" w:rsidRDefault="00FC0AC3" w:rsidP="003F47C9">
      <w:pPr>
        <w:rPr>
          <w:b/>
          <w:bCs/>
        </w:rPr>
      </w:pPr>
      <w:r>
        <w:rPr>
          <w:b/>
          <w:bCs/>
        </w:rPr>
        <w:t>Interest Rate</w:t>
      </w:r>
    </w:p>
    <w:p w14:paraId="3A4A0666" w14:textId="2BB20C0E" w:rsidR="006348FD" w:rsidRDefault="00FC0AC3" w:rsidP="006348FD">
      <w:pPr>
        <w:ind w:firstLine="567"/>
        <w:jc w:val="both"/>
      </w:pPr>
      <w:r w:rsidRPr="00916178">
        <w:t xml:space="preserve">Interest rates affect an individual's decision on </w:t>
      </w:r>
      <w:proofErr w:type="spellStart"/>
      <w:r w:rsidR="00CE7F2C">
        <w:t>wheter</w:t>
      </w:r>
      <w:proofErr w:type="spellEnd"/>
      <w:r w:rsidRPr="00916178">
        <w:t xml:space="preserve"> to spend more money. Keynes d</w:t>
      </w:r>
      <w:r w:rsidR="00CE7F2C">
        <w:t>eveloped</w:t>
      </w:r>
      <w:r w:rsidRPr="00916178">
        <w:t xml:space="preserve"> the Theory of Liquidity Preference</w:t>
      </w:r>
      <w:r w:rsidR="00CE7F2C">
        <w:t>,</w:t>
      </w:r>
      <w:r w:rsidRPr="00916178">
        <w:t xml:space="preserve"> which links interest rates with income. He </w:t>
      </w:r>
      <w:r w:rsidRPr="00916178">
        <w:lastRenderedPageBreak/>
        <w:t xml:space="preserve">asserts that exogenous variations in money tend to constantly stimulate changes in V and Y. Therefore, he argues that increases in money tend to lower interest rates by stimulating investment growth </w:t>
      </w:r>
      <w:r w:rsidR="006348FD">
        <w:fldChar w:fldCharType="begin" w:fldLock="1"/>
      </w:r>
      <w:r w:rsidR="00E87A26">
        <w:instrText>ADDIN CSL_CITATION {"citationItems":[{"id":"ITEM-1","itemData":{"author":[{"dropping-particle":"","family":"Rivera-Batiz, L.","given":"Francisco","non-dropping-particle":"","parse-names":false,"suffix":""},{"dropping-particle":"","family":"Rivera-Batiz","given":"Luis","non-dropping-particle":"","parse-names":false,"suffix":""}],"id":"ITEM-1","issued":{"date-parts":[["1985"]]},"publisher":"Macmillian","publisher-place":"New York","title":"International Finance and Open Economy Macroeconomics","type":"book"},"uris":["http://www.mendeley.com/documents/?uuid=18cac647-f624-4787-ab3e-3c76853bdf6d","http://www.mendeley.com/documents/?uuid=12f8a090-0abf-4cda-a8b1-54dfa449a2c7"]}],"mendeley":{"formattedCitation":"(Rivera-Batiz, L. &amp; Rivera-Batiz, 1985)","plainTextFormattedCitation":"(Rivera-Batiz, L. &amp; Rivera-Batiz, 1985)","previouslyFormattedCitation":"(Rivera-Batiz, L. &amp; Rivera-Batiz, 1985)"},"properties":{"noteIndex":0},"schema":"https://github.com/citation-style-language/schema/raw/master/csl-citation.json"}</w:instrText>
      </w:r>
      <w:r w:rsidR="006348FD">
        <w:fldChar w:fldCharType="separate"/>
      </w:r>
      <w:r w:rsidR="006348FD" w:rsidRPr="00C9386D">
        <w:rPr>
          <w:noProof/>
        </w:rPr>
        <w:t>(Rivera-Batiz, L. &amp; Rivera-Batiz, 1985)</w:t>
      </w:r>
      <w:r w:rsidR="006348FD">
        <w:fldChar w:fldCharType="end"/>
      </w:r>
      <w:r w:rsidR="006348FD">
        <w:t xml:space="preserve">. </w:t>
      </w:r>
      <w:r w:rsidRPr="00916178">
        <w:t xml:space="preserve">The speed will also decrease. He rejected the idea that speed is constant. An increase in the money supply usually leads to a decrease in interest rates, which makes investing in domestic currencies less attractive compared to foreign currencies, leading to depreciation </w:t>
      </w:r>
      <w:r w:rsidR="006348FD">
        <w:fldChar w:fldCharType="begin" w:fldLock="1"/>
      </w:r>
      <w:r w:rsidR="00E87A26">
        <w:instrText>ADDIN CSL_CITATION {"citationItems":[{"id":"ITEM-1","itemData":{"DOI":"10.26417/ejms.v1i1.p294-302","ISSN":"2414-8377","abstract":"The aim of this paper is to present different approaches and theories, which are linked with money and inflation. Many studies are made to provide a high relationship of money and inflation. The changes in money supply always have affected the macroeconomic indicators such as inflation, unemployment, economic growth, trades and have let the governments to conduct the necessary fiscal and monetary policies, in order to react in an efficient way to reduce uncertainty and to build a sustainable economy. The paper analyses the theoretical links of money supply with unemployment, trade and exchange rate, taxes and wages. The regression analysis is conducted based on the theories of money. The analysis and the empirical results for Albania showed that money supply has strong relationship with economic growth, interest rate and inflation, but money supply has a negative sign toward inflation, by arguing that the case of Albania is specific, because of lack of money supply from banking system and money in circulation outside banks. From the results, we found that all money supplied by the financial system is fully absorbed by the private sector and individuals, without causing an increase on the inflation level. This may be argued from the financial crisis that affected Albania and the reduction of production, consumption, unemployment and delayed payments from the government toward business sector. Furthermore, there are suggested monetary policies for increasing the supply of money, and fiscal policies for increasing the demand for goods and services. The supply increases by the demand side, which need to be stimulated by production sector through fiscal policies and government development programs","author":[{"dropping-particle":"","family":"Koti","given":"Sorina","non-dropping-particle":"","parse-names":false,"suffix":""},{"dropping-particle":"","family":"Bixho","given":"Tomi","non-dropping-particle":"","parse-names":false,"suffix":""}],"container-title":"European Journal of Multidisciplinary Studies","id":"ITEM-1","issue":"1","issued":{"date-parts":[["2016"]]},"page":"294","title":"Theories of Money Supply: The Relationship of Money Supply in a Period of Time T-1 and Inflation in Period T- Empirical Evidence from Albania","type":"article-journal","volume":"1"},"uris":["http://www.mendeley.com/documents/?uuid=ef45a2b2-495e-49eb-9448-a6d95117d876","http://www.mendeley.com/documents/?uuid=05cc5f46-47e8-43d5-8aa0-e16111293e95"]}],"mendeley":{"formattedCitation":"(Koti &amp; Bixho, 2016)","plainTextFormattedCitation":"(Koti &amp; Bixho, 2016)","previouslyFormattedCitation":"(Koti &amp; Bixho, 2016)"},"properties":{"noteIndex":0},"schema":"https://github.com/citation-style-language/schema/raw/master/csl-citation.json"}</w:instrText>
      </w:r>
      <w:r w:rsidR="006348FD">
        <w:fldChar w:fldCharType="separate"/>
      </w:r>
      <w:r w:rsidR="006348FD" w:rsidRPr="00916178">
        <w:rPr>
          <w:noProof/>
        </w:rPr>
        <w:t>(Koti &amp; Bixho, 2016)</w:t>
      </w:r>
      <w:r w:rsidR="006348FD">
        <w:fldChar w:fldCharType="end"/>
      </w:r>
      <w:r w:rsidR="006348FD">
        <w:t>.</w:t>
      </w:r>
    </w:p>
    <w:p w14:paraId="44E43DA3" w14:textId="1EC14743" w:rsidR="006348FD" w:rsidRDefault="00FC0AC3" w:rsidP="006348FD">
      <w:pPr>
        <w:ind w:firstLine="567"/>
        <w:jc w:val="both"/>
      </w:pPr>
      <w:r w:rsidRPr="001B01BE">
        <w:t xml:space="preserve">Interest rates and the money supply are closely related in the context of monetary policy. Central banks use interest rates as the main tool to control the money supply and thus, influence various aspects of the economy. According to the quantity theory of money, an increase in the money supply will occur if interest rates are lowered, as lower borrowing costs encourage increased credit and spending by consumers and firms, thus increasing the money supply in the economy </w:t>
      </w:r>
      <w:r w:rsidR="006348FD" w:rsidRPr="001B01BE">
        <w:fldChar w:fldCharType="begin" w:fldLock="1"/>
      </w:r>
      <w:r w:rsidR="00E87A26">
        <w:instrText>ADDIN CSL_CITATION {"citationItems":[{"id":"ITEM-1","itemData":{"DOI":"10.11118/actaun201765020745","ISSN":"12118516","abstract":"The main aim of this paper is to investigate relationships between selected macroeconomic variables - interest rate, price level, money supply and real GDP - in the Czech Republic in order to find out definite implications of its interactions and give recommendations to macroeconomic policy authorities. Two implemented vector autoregression models with different lag length reached slightly different conclusions. VAR(1) suggests that three pairs of Granger causality exist, in particular between price level and interest rate, between real GDP and interest rate and between real GDP and price level. VAR(2) uncovered two more pairs of Granger causality between money supply and interest rate and between money supply and price level. Despite better prediction power of VAR(2) in case of money supply, low correlation coefficient comprising variable money supply raises doubts about the factual existence of causality between money supply and other variables. However, both models allow forecasting the direction of change in case of variables interest rate and real GDP with the same success rate nearly 82 %. Both VARs also agreed that interest rate could be changed by change of price level and that interest rate could be changed by change of real GDP. These conclusions represent potential recommendations to macroeconomic policy authorities. For the purpose of further research, exchange rate variable will be included in the model instead of interest rate, because effect of interest rate turned out to be limited in times of weakened state of Czech economy.","author":[{"dropping-particle":"","family":"Urbanovský","given":"Tomáš","non-dropping-particle":"","parse-names":false,"suffix":""}],"container-title":"Acta Universitatis Agriculturae et Silviculturae Mendelianae Brunensis","id":"ITEM-1","issue":"2","issued":{"date-parts":[["2017"]]},"page":"745-757","title":"Granger causalities between interest rate, price level, money supply and real GDP in the Czech Republic","type":"article-journal","volume":"65"},"uris":["http://www.mendeley.com/documents/?uuid=b3013d4a-5a9b-46f9-b29a-1103c3c9e789","http://www.mendeley.com/documents/?uuid=6e0f4c81-2c7a-4528-a6a7-90c0a8346dc9"]}],"mendeley":{"formattedCitation":"(Urbanovský, 2017)","plainTextFormattedCitation":"(Urbanovský, 2017)","previouslyFormattedCitation":"(Urbanovský, 2017)"},"properties":{"noteIndex":0},"schema":"https://github.com/citation-style-language/schema/raw/master/csl-citation.json"}</w:instrText>
      </w:r>
      <w:r w:rsidR="006348FD" w:rsidRPr="001B01BE">
        <w:fldChar w:fldCharType="separate"/>
      </w:r>
      <w:r w:rsidR="006348FD" w:rsidRPr="001B01BE">
        <w:rPr>
          <w:noProof/>
        </w:rPr>
        <w:t>(Urbanovský, 2017)</w:t>
      </w:r>
      <w:r w:rsidR="006348FD" w:rsidRPr="001B01BE">
        <w:fldChar w:fldCharType="end"/>
      </w:r>
      <w:r w:rsidR="006348FD" w:rsidRPr="001B01BE">
        <w:t>.</w:t>
      </w:r>
    </w:p>
    <w:p w14:paraId="06A972C5" w14:textId="43D48B19" w:rsidR="00FC0AC3" w:rsidRDefault="00FC0AC3" w:rsidP="00661EC0">
      <w:pPr>
        <w:ind w:firstLine="567"/>
        <w:jc w:val="both"/>
      </w:pPr>
      <w:r w:rsidRPr="004C3EBC">
        <w:t xml:space="preserve">High interest rates make individuals save more money </w:t>
      </w:r>
      <w:r w:rsidR="00CE7F2C">
        <w:t>at</w:t>
      </w:r>
      <w:r w:rsidRPr="004C3EBC">
        <w:t xml:space="preserve"> banks. This causes how much money flows in the public arena to decrease. Alternately, assuming interest rates are low, individuals will be less likely to need to save in the bank, but rather place them in various other types of investment speculation. This can obviously enlarge or increase the amount of money circulating in the community. It is very reasonable that changes in interest rates can affect the amount of money in circulation in the community </w:t>
      </w:r>
      <w:r w:rsidR="006348FD">
        <w:fldChar w:fldCharType="begin" w:fldLock="1"/>
      </w:r>
      <w:r w:rsidR="00E87A26">
        <w:instrText>ADDIN CSL_CITATION {"citationItems":[{"id":"ITEM-1","itemData":{"author":[{"dropping-particle":"","family":"Parulian","given":"Tohap","non-dropping-particle":"","parse-names":false,"suffix":""},{"dropping-particle":"","family":"Utami","given":"Fuji","non-dropping-particle":"","parse-names":false,"suffix":""}],"container-title":"Jesya","id":"ITEM-1","issue":"1","issued":{"date-parts":[["2024"]]},"page":"chrome-extension://efaidnbmnnnibpcajpcglclefindmka","title":"Pengaruh Inflasi, Tingkat Suku Bunga, dan E-Money terhadap Jumlah Uang Beredar di Indonesia","type":"article-journal","volume":"7"},"uris":["http://www.mendeley.com/documents/?uuid=bb7faeca-d00b-436b-8807-f7709189e5d4","http://www.mendeley.com/documents/?uuid=c41d17cc-47e4-4488-8482-6ab1a26205f1"]}],"mendeley":{"formattedCitation":"(Parulian &amp; Utami, 2024)","plainTextFormattedCitation":"(Parulian &amp; Utami, 2024)","previouslyFormattedCitation":"(Parulian &amp; Utami, 2024)"},"properties":{"noteIndex":0},"schema":"https://github.com/citation-style-language/schema/raw/master/csl-citation.json"}</w:instrText>
      </w:r>
      <w:r w:rsidR="006348FD">
        <w:fldChar w:fldCharType="separate"/>
      </w:r>
      <w:r w:rsidR="006348FD" w:rsidRPr="004C3EBC">
        <w:rPr>
          <w:noProof/>
        </w:rPr>
        <w:t>(Parulian &amp; Utami, 2024)</w:t>
      </w:r>
      <w:r w:rsidR="006348FD">
        <w:fldChar w:fldCharType="end"/>
      </w:r>
      <w:r w:rsidR="006348FD">
        <w:t xml:space="preserve">. </w:t>
      </w:r>
      <w:r>
        <w:t>This is supported by research</w:t>
      </w:r>
      <w:r w:rsidR="00CE7F2C">
        <w:t xml:space="preserve"> by</w:t>
      </w:r>
      <w:r w:rsidR="006348FD">
        <w:t xml:space="preserve"> </w:t>
      </w:r>
      <w:r w:rsidR="006348FD">
        <w:fldChar w:fldCharType="begin" w:fldLock="1"/>
      </w:r>
      <w:r w:rsidR="00004B81">
        <w:instrText>ADDIN CSL_CITATION {"citationItems":[{"id":"ITEM-1","itemData":{"DOI":"10.58192/profit.v1i3.324","ISSN":"2963-4989","abstract":"The purpose of this study was to determine the effect of inflation, interest rates and investment on the money supply in Indonesia from 1991 to 2021. The money supply (JUB) is the total value of money in the hands of the public, consisting of currency and demand deposits. Theoretically, the money supply will affect the value of money implemented at the price and product levels. Factors that affect the money supply are income, inflation, interest. Therefore, the method that can be used is the Error Correction Model (ECM). and the data used is quantitative data, because the data is used to calculate the effect on the variable amount of money in circulation. The data source used is in the form of secondary data, which is data obtained from official sites or websites. The results of this study are that the variable inflation and interest rates have a significant effect on the amount of money in circulation, then the investment variable has no effect and is not significant on the amount of money in circulation","author":[{"dropping-particle":"","family":"Hafizh","given":"Ahmad","non-dropping-particle":"Al","parse-names":false,"suffix":""}],"container-title":"Profit: Jurnal Manajemen, Bisnis dan Akuntansi","id":"ITEM-1","issue":"3","issued":{"date-parts":[["2022"]]},"page":"63-73","title":"Analisis Pengaruh Inflasi, Suku Bunga (Sb) Dan Investasi Terhadap Jumlah Uang Beredar (Jub) Di Indonesia Tahun 1991 - 2022","type":"article-journal","volume":"1"},"uris":["http://www.mendeley.com/documents/?uuid=710a4318-dca9-46e2-ab48-0aaf831aa8ee"]}],"mendeley":{"formattedCitation":"(Al Hafizh, 2022)","manualFormatting":"Al Hafizh (2022)","plainTextFormattedCitation":"(Al Hafizh, 2022)","previouslyFormattedCitation":"(Al Hafizh, 2022)"},"properties":{"noteIndex":0},"schema":"https://github.com/citation-style-language/schema/raw/master/csl-citation.json"}</w:instrText>
      </w:r>
      <w:r w:rsidR="006348FD">
        <w:fldChar w:fldCharType="separate"/>
      </w:r>
      <w:r w:rsidR="006348FD" w:rsidRPr="00475FE4">
        <w:rPr>
          <w:noProof/>
        </w:rPr>
        <w:t>Al Hafizh</w:t>
      </w:r>
      <w:r w:rsidR="006348FD">
        <w:rPr>
          <w:noProof/>
        </w:rPr>
        <w:t xml:space="preserve"> (</w:t>
      </w:r>
      <w:r w:rsidR="006348FD" w:rsidRPr="00475FE4">
        <w:rPr>
          <w:noProof/>
        </w:rPr>
        <w:t>2022)</w:t>
      </w:r>
      <w:r w:rsidR="006348FD">
        <w:fldChar w:fldCharType="end"/>
      </w:r>
      <w:r w:rsidR="006348FD">
        <w:t xml:space="preserve"> </w:t>
      </w:r>
      <w:r>
        <w:t>and</w:t>
      </w:r>
      <w:r w:rsidR="006348FD">
        <w:t xml:space="preserve"> </w:t>
      </w:r>
      <w:r w:rsidR="006348FD">
        <w:fldChar w:fldCharType="begin" w:fldLock="1"/>
      </w:r>
      <w:r w:rsidR="00E87A26">
        <w:instrText>ADDIN CSL_CITATION {"citationItems":[{"id":"ITEM-1","itemData":{"abstract":"… karena jumlah uang beredar ditentukan oleh BI. Namun dalam jangka panjang pengaruh inflasi terhadap jumlah uang beredar adalah jika inflasi naik maka jumlah uang beredar akan …","author":[{"dropping-particle":"","family":"Mentari","given":"Wilda Ayu","non-dropping-particle":"","parse-names":false,"suffix":""},{"dropping-particle":"","family":"Pangidoan","given":"Eddy","non-dropping-particle":"","parse-names":false,"suffix":""}],"container-title":"Jurnal Sains Ekonomi","id":"ITEM-1","issue":"1","issued":{"date-parts":[["2020"]]},"page":"9-17","title":"Pengaruh produk domestik bruto, suku bunga, dan inflasi terhadap jumlah uang beredar di Indonesia","type":"article-journal","volume":"1"},"uris":["http://www.mendeley.com/documents/?uuid=07f81515-2b67-47d9-8553-9a0f3773387c","http://www.mendeley.com/documents/?uuid=bf0899d1-a2cc-4cf2-8615-a2637593375d"]}],"mendeley":{"formattedCitation":"(Mentari &amp; Pangidoan, 2020)","manualFormatting":"Mentari &amp; Pangidoan (2020)","plainTextFormattedCitation":"(Mentari &amp; Pangidoan, 2020)","previouslyFormattedCitation":"(Mentari &amp; Pangidoan, 2020)"},"properties":{"noteIndex":0},"schema":"https://github.com/citation-style-language/schema/raw/master/csl-citation.json"}</w:instrText>
      </w:r>
      <w:r w:rsidR="006348FD">
        <w:fldChar w:fldCharType="separate"/>
      </w:r>
      <w:r w:rsidR="006348FD" w:rsidRPr="0084007D">
        <w:rPr>
          <w:noProof/>
        </w:rPr>
        <w:t>Mentari &amp; Pangidoan</w:t>
      </w:r>
      <w:r w:rsidR="006348FD">
        <w:rPr>
          <w:noProof/>
        </w:rPr>
        <w:t xml:space="preserve"> (</w:t>
      </w:r>
      <w:r w:rsidR="006348FD" w:rsidRPr="0084007D">
        <w:rPr>
          <w:noProof/>
        </w:rPr>
        <w:t>2020)</w:t>
      </w:r>
      <w:r w:rsidR="006348FD">
        <w:fldChar w:fldCharType="end"/>
      </w:r>
      <w:r w:rsidR="00CE7F2C">
        <w:t xml:space="preserve"> showing</w:t>
      </w:r>
      <w:r w:rsidR="006348FD">
        <w:t xml:space="preserve"> </w:t>
      </w:r>
      <w:r>
        <w:t>that interest rates have a positive effect on the money supply. Different findings were obtained in the study</w:t>
      </w:r>
      <w:r w:rsidR="00CE7F2C">
        <w:t xml:space="preserve"> by</w:t>
      </w:r>
      <w:r>
        <w:t xml:space="preserve"> </w:t>
      </w:r>
      <w:r w:rsidR="006348FD">
        <w:fldChar w:fldCharType="begin" w:fldLock="1"/>
      </w:r>
      <w:r w:rsidR="00E87A26">
        <w:instrText>ADDIN CSL_CITATION {"citationItems":[{"id":"ITEM-1","itemData":{"author":[{"dropping-particle":"","family":"Parulian","given":"Tohap","non-dropping-particle":"","parse-names":false,"suffix":""},{"dropping-particle":"","family":"Utami","given":"Fuji","non-dropping-particle":"","parse-names":false,"suffix":""}],"container-title":"Jesya","id":"ITEM-1","issue":"1","issued":{"date-parts":[["2024"]]},"page":"chrome-extension://efaidnbmnnnibpcajpcglclefindmka","title":"Pengaruh Inflasi, Tingkat Suku Bunga, dan E-Money terhadap Jumlah Uang Beredar di Indonesia","type":"article-journal","volume":"7"},"uris":["http://www.mendeley.com/documents/?uuid=bb7faeca-d00b-436b-8807-f7709189e5d4","http://www.mendeley.com/documents/?uuid=c41d17cc-47e4-4488-8482-6ab1a26205f1"]}],"mendeley":{"formattedCitation":"(Parulian &amp; Utami, 2024)","manualFormatting":"Parulian &amp; Utami (2024)","plainTextFormattedCitation":"(Parulian &amp; Utami, 2024)","previouslyFormattedCitation":"(Parulian &amp; Utami, 2024)"},"properties":{"noteIndex":0},"schema":"https://github.com/citation-style-language/schema/raw/master/csl-citation.json"}</w:instrText>
      </w:r>
      <w:r w:rsidR="006348FD">
        <w:fldChar w:fldCharType="separate"/>
      </w:r>
      <w:r w:rsidR="006348FD" w:rsidRPr="0085630B">
        <w:rPr>
          <w:noProof/>
        </w:rPr>
        <w:t>Parulian &amp; Utami</w:t>
      </w:r>
      <w:r w:rsidR="006348FD">
        <w:rPr>
          <w:noProof/>
        </w:rPr>
        <w:t xml:space="preserve"> (</w:t>
      </w:r>
      <w:r w:rsidR="006348FD" w:rsidRPr="0085630B">
        <w:rPr>
          <w:noProof/>
        </w:rPr>
        <w:t>2024)</w:t>
      </w:r>
      <w:r w:rsidR="006348FD">
        <w:fldChar w:fldCharType="end"/>
      </w:r>
      <w:r w:rsidR="006348FD">
        <w:t xml:space="preserve"> </w:t>
      </w:r>
      <w:r w:rsidR="00CE7F2C">
        <w:t>and</w:t>
      </w:r>
      <w:r w:rsidR="006348FD">
        <w:t xml:space="preserve"> </w:t>
      </w:r>
      <w:r w:rsidR="006348FD">
        <w:fldChar w:fldCharType="begin" w:fldLock="1"/>
      </w:r>
      <w:r w:rsidR="00E87A26">
        <w:instrText>ADDIN CSL_CITATION {"citationItems":[{"id":"ITEM-1","itemData":{"author":[{"dropping-particle":"","family":"Anggraini","given":"Dewi","non-dropping-particle":"","parse-names":false,"suffix":""},{"dropping-particle":"","family":"Rahayu","given":"Dewi","non-dropping-particle":"","parse-names":false,"suffix":""}],"container-title":"JIEP","id":"ITEM-1","issued":{"date-parts":[["2022"]]},"title":"Jumlah Uang Beredar di Indonesia (Periode 2011-2019)","type":"article-journal","volume":"5"},"uris":["http://www.mendeley.com/documents/?uuid=fd0d4a35-8dec-4f7e-abb7-821277c55dd4","http://www.mendeley.com/documents/?uuid=435b54c0-3a22-4508-92fb-4bc7eeef1b95"]}],"mendeley":{"formattedCitation":"(Anggraini &amp; Rahayu, 2022)","manualFormatting":"Anggraini &amp; Rahayu (2022)","plainTextFormattedCitation":"(Anggraini &amp; Rahayu, 2022)","previouslyFormattedCitation":"(Anggraini &amp; Rahayu, 2022)"},"properties":{"noteIndex":0},"schema":"https://github.com/citation-style-language/schema/raw/master/csl-citation.json"}</w:instrText>
      </w:r>
      <w:r w:rsidR="006348FD">
        <w:fldChar w:fldCharType="separate"/>
      </w:r>
      <w:r w:rsidR="006348FD" w:rsidRPr="00F55682">
        <w:rPr>
          <w:noProof/>
        </w:rPr>
        <w:t>Anggraini &amp; Rahayu</w:t>
      </w:r>
      <w:r w:rsidR="006348FD">
        <w:rPr>
          <w:noProof/>
        </w:rPr>
        <w:t xml:space="preserve"> (</w:t>
      </w:r>
      <w:r w:rsidR="006348FD" w:rsidRPr="00F55682">
        <w:rPr>
          <w:noProof/>
        </w:rPr>
        <w:t>2022)</w:t>
      </w:r>
      <w:r w:rsidR="006348FD">
        <w:fldChar w:fldCharType="end"/>
      </w:r>
      <w:r w:rsidR="006348FD">
        <w:t xml:space="preserve"> </w:t>
      </w:r>
      <w:r>
        <w:t>that interest rates have a negative influence on the money supply.</w:t>
      </w:r>
    </w:p>
    <w:p w14:paraId="4DDD34AC" w14:textId="382B2E0E" w:rsidR="00FC366D" w:rsidRDefault="00FC0AC3" w:rsidP="003453FC">
      <w:pPr>
        <w:tabs>
          <w:tab w:val="left" w:pos="567"/>
        </w:tabs>
        <w:jc w:val="both"/>
      </w:pPr>
      <w:r>
        <w:t>H6: Interest rates have a positive effect on the money supply</w:t>
      </w:r>
      <w:r w:rsidR="00CE7F2C">
        <w:t>.</w:t>
      </w:r>
    </w:p>
    <w:p w14:paraId="739F828D" w14:textId="77777777" w:rsidR="00FC366D" w:rsidRPr="00E70B0A" w:rsidRDefault="00FC366D" w:rsidP="006348FD">
      <w:pPr>
        <w:tabs>
          <w:tab w:val="left" w:pos="567"/>
        </w:tabs>
        <w:jc w:val="both"/>
      </w:pPr>
    </w:p>
    <w:p w14:paraId="07E9A528" w14:textId="3A171B11" w:rsidR="00FC0AC3" w:rsidRDefault="00FC0AC3" w:rsidP="009E05A1">
      <w:pPr>
        <w:jc w:val="center"/>
        <w:rPr>
          <w:b/>
          <w:bCs/>
        </w:rPr>
      </w:pPr>
      <w:r>
        <w:rPr>
          <w:b/>
          <w:bCs/>
        </w:rPr>
        <w:t>Figure 1</w:t>
      </w:r>
      <w:r w:rsidR="00E9716B">
        <w:rPr>
          <w:b/>
          <w:bCs/>
        </w:rPr>
        <w:t>.</w:t>
      </w:r>
      <w:r>
        <w:rPr>
          <w:b/>
          <w:bCs/>
        </w:rPr>
        <w:t xml:space="preserve"> </w:t>
      </w:r>
      <w:r w:rsidRPr="003661CA">
        <w:rPr>
          <w:b/>
          <w:bCs/>
          <w:i/>
          <w:iCs/>
        </w:rPr>
        <w:t>Research Framework</w:t>
      </w:r>
    </w:p>
    <w:p w14:paraId="4592525A" w14:textId="77777777" w:rsidR="006348FD" w:rsidRDefault="006348FD" w:rsidP="006348FD">
      <w:pPr>
        <w:rPr>
          <w:b/>
          <w:bCs/>
        </w:rPr>
      </w:pPr>
    </w:p>
    <w:p w14:paraId="196E135A" w14:textId="77777777" w:rsidR="006348FD" w:rsidRDefault="006348FD" w:rsidP="006348FD">
      <w:pPr>
        <w:rPr>
          <w:b/>
          <w:bCs/>
        </w:rPr>
      </w:pPr>
      <w:r>
        <w:rPr>
          <w:b/>
          <w:bCs/>
          <w:noProof/>
        </w:rPr>
        <mc:AlternateContent>
          <mc:Choice Requires="wps">
            <w:drawing>
              <wp:anchor distT="0" distB="0" distL="114300" distR="114300" simplePos="0" relativeHeight="251666432" behindDoc="0" locked="0" layoutInCell="1" allowOverlap="1" wp14:anchorId="554E7EB3" wp14:editId="3F5F7B2F">
                <wp:simplePos x="0" y="0"/>
                <wp:positionH relativeFrom="column">
                  <wp:posOffset>2400300</wp:posOffset>
                </wp:positionH>
                <wp:positionV relativeFrom="paragraph">
                  <wp:posOffset>173354</wp:posOffset>
                </wp:positionV>
                <wp:extent cx="1419225" cy="904875"/>
                <wp:effectExtent l="0" t="0" r="66675" b="47625"/>
                <wp:wrapNone/>
                <wp:docPr id="11" name="Straight Arrow Connector 11"/>
                <wp:cNvGraphicFramePr/>
                <a:graphic xmlns:a="http://schemas.openxmlformats.org/drawingml/2006/main">
                  <a:graphicData uri="http://schemas.microsoft.com/office/word/2010/wordprocessingShape">
                    <wps:wsp>
                      <wps:cNvCnPr/>
                      <wps:spPr>
                        <a:xfrm>
                          <a:off x="0" y="0"/>
                          <a:ext cx="1419225" cy="904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du="http://schemas.microsoft.com/office/word/2023/wordml/word16du" xmlns:oel="http://schemas.microsoft.com/office/2019/extlst">
            <w:pict>
              <v:shapetype w14:anchorId="3C448E41" id="_x0000_t32" coordsize="21600,21600" o:spt="32" o:oned="t" path="m,l21600,21600e" filled="f">
                <v:path arrowok="t" fillok="f" o:connecttype="none"/>
                <o:lock v:ext="edit" shapetype="t"/>
              </v:shapetype>
              <v:shape id="Straight Arrow Connector 11" o:spid="_x0000_s1026" type="#_x0000_t32" style="position:absolute;margin-left:189pt;margin-top:13.65pt;width:111.75pt;height:71.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" strokecolor="black [3200]" strokeweight=".5pt">
                <v:stroke endarrow="block" joinstyle="miter"/>
              </v:shape>
            </w:pict>
          </mc:Fallback>
        </mc:AlternateContent>
      </w:r>
      <w:r>
        <w:rPr>
          <w:b/>
          <w:bCs/>
          <w:noProof/>
        </w:rPr>
        <mc:AlternateContent>
          <mc:Choice Requires="wps">
            <w:drawing>
              <wp:anchor distT="0" distB="0" distL="114300" distR="114300" simplePos="0" relativeHeight="251659264" behindDoc="0" locked="0" layoutInCell="1" allowOverlap="1" wp14:anchorId="4D0591F7" wp14:editId="69BD8D0A">
                <wp:simplePos x="0" y="0"/>
                <wp:positionH relativeFrom="column">
                  <wp:posOffset>314325</wp:posOffset>
                </wp:positionH>
                <wp:positionV relativeFrom="paragraph">
                  <wp:posOffset>26670</wp:posOffset>
                </wp:positionV>
                <wp:extent cx="2085975" cy="3333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2085975" cy="333375"/>
                        </a:xfrm>
                        <a:prstGeom prst="rect">
                          <a:avLst/>
                        </a:prstGeom>
                      </wps:spPr>
                      <wps:style>
                        <a:lnRef idx="2">
                          <a:schemeClr val="dk1"/>
                        </a:lnRef>
                        <a:fillRef idx="1">
                          <a:schemeClr val="lt1"/>
                        </a:fillRef>
                        <a:effectRef idx="0">
                          <a:schemeClr val="dk1"/>
                        </a:effectRef>
                        <a:fontRef idx="minor">
                          <a:schemeClr val="dk1"/>
                        </a:fontRef>
                      </wps:style>
                      <wps:txbx>
                        <w:txbxContent>
                          <w:p w14:paraId="3C5F1BCE" w14:textId="77777777" w:rsidR="006348FD" w:rsidRPr="00FF23D3" w:rsidRDefault="006348FD" w:rsidP="006348FD">
                            <w:pPr>
                              <w:jc w:val="center"/>
                            </w:pPr>
                            <w:r>
                              <w:t>Exchange Rate (X</w:t>
                            </w:r>
                            <w:r>
                              <w:rPr>
                                <w:vertAlign w:val="subscript"/>
                              </w:rPr>
                              <w:t>1</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0591F7" id="Rectangle 3" o:spid="_x0000_s1026" style="position:absolute;margin-left:24.75pt;margin-top:2.1pt;width:164.25pt;height:26.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" fillcolor="white [3201]" strokecolor="black [3200]" strokeweight="1pt">
                <v:textbox>
                  <w:txbxContent>
                    <w:p w14:paraId="3C5F1BCE" w14:textId="77777777" w:rsidR="006348FD" w:rsidRPr="00FF23D3" w:rsidRDefault="006348FD" w:rsidP="006348FD">
                      <w:pPr>
                        <w:jc w:val="center"/>
                      </w:pPr>
                      <w:r>
                        <w:t>Exchange Rate (X</w:t>
                      </w:r>
                      <w:r>
                        <w:rPr>
                          <w:vertAlign w:val="subscript"/>
                        </w:rPr>
                        <w:t>1</w:t>
                      </w:r>
                      <w:r>
                        <w:t>)</w:t>
                      </w:r>
                    </w:p>
                  </w:txbxContent>
                </v:textbox>
              </v:rect>
            </w:pict>
          </mc:Fallback>
        </mc:AlternateContent>
      </w:r>
    </w:p>
    <w:p w14:paraId="2EE91034" w14:textId="77777777" w:rsidR="006348FD" w:rsidRDefault="006348FD" w:rsidP="006348FD">
      <w:pPr>
        <w:rPr>
          <w:b/>
          <w:bCs/>
        </w:rPr>
      </w:pPr>
    </w:p>
    <w:p w14:paraId="3E1F70AF" w14:textId="77777777" w:rsidR="006348FD" w:rsidRDefault="006348FD" w:rsidP="006348FD">
      <w:pPr>
        <w:rPr>
          <w:b/>
          <w:bCs/>
        </w:rPr>
      </w:pPr>
      <w:r>
        <w:rPr>
          <w:b/>
          <w:bCs/>
          <w:noProof/>
        </w:rPr>
        <mc:AlternateContent>
          <mc:Choice Requires="wps">
            <w:drawing>
              <wp:anchor distT="0" distB="0" distL="114300" distR="114300" simplePos="0" relativeHeight="251660288" behindDoc="0" locked="0" layoutInCell="1" allowOverlap="1" wp14:anchorId="27D8B072" wp14:editId="3EF5C9E6">
                <wp:simplePos x="0" y="0"/>
                <wp:positionH relativeFrom="column">
                  <wp:posOffset>314325</wp:posOffset>
                </wp:positionH>
                <wp:positionV relativeFrom="paragraph">
                  <wp:posOffset>88900</wp:posOffset>
                </wp:positionV>
                <wp:extent cx="2085975" cy="3333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2085975" cy="333375"/>
                        </a:xfrm>
                        <a:prstGeom prst="rect">
                          <a:avLst/>
                        </a:prstGeom>
                      </wps:spPr>
                      <wps:style>
                        <a:lnRef idx="2">
                          <a:schemeClr val="dk1"/>
                        </a:lnRef>
                        <a:fillRef idx="1">
                          <a:schemeClr val="lt1"/>
                        </a:fillRef>
                        <a:effectRef idx="0">
                          <a:schemeClr val="dk1"/>
                        </a:effectRef>
                        <a:fontRef idx="minor">
                          <a:schemeClr val="dk1"/>
                        </a:fontRef>
                      </wps:style>
                      <wps:txbx>
                        <w:txbxContent>
                          <w:p w14:paraId="3B5279BE" w14:textId="77777777" w:rsidR="006348FD" w:rsidRPr="00FF23D3" w:rsidRDefault="006348FD" w:rsidP="006348FD">
                            <w:pPr>
                              <w:jc w:val="center"/>
                            </w:pPr>
                            <w:r>
                              <w:t>FDI (X</w:t>
                            </w:r>
                            <w:r>
                              <w:rPr>
                                <w:vertAlign w:val="subscript"/>
                              </w:rPr>
                              <w:t>2</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D8B072" id="Rectangle 5" o:spid="_x0000_s1027" style="position:absolute;margin-left:24.75pt;margin-top:7pt;width:164.25pt;height:26.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" fillcolor="white [3201]" strokecolor="black [3200]" strokeweight="1pt">
                <v:textbox>
                  <w:txbxContent>
                    <w:p w14:paraId="3B5279BE" w14:textId="77777777" w:rsidR="006348FD" w:rsidRPr="00FF23D3" w:rsidRDefault="006348FD" w:rsidP="006348FD">
                      <w:pPr>
                        <w:jc w:val="center"/>
                      </w:pPr>
                      <w:r>
                        <w:t>FDI (X</w:t>
                      </w:r>
                      <w:r>
                        <w:rPr>
                          <w:vertAlign w:val="subscript"/>
                        </w:rPr>
                        <w:t>2</w:t>
                      </w:r>
                      <w:r>
                        <w:t>)</w:t>
                      </w:r>
                    </w:p>
                  </w:txbxContent>
                </v:textbox>
              </v:rect>
            </w:pict>
          </mc:Fallback>
        </mc:AlternateContent>
      </w:r>
    </w:p>
    <w:p w14:paraId="5732C297" w14:textId="77777777" w:rsidR="006348FD" w:rsidRDefault="006348FD" w:rsidP="006348FD">
      <w:pPr>
        <w:rPr>
          <w:b/>
          <w:bCs/>
        </w:rPr>
      </w:pPr>
      <w:r>
        <w:rPr>
          <w:b/>
          <w:bCs/>
          <w:noProof/>
        </w:rPr>
        <mc:AlternateContent>
          <mc:Choice Requires="wps">
            <w:drawing>
              <wp:anchor distT="0" distB="0" distL="114300" distR="114300" simplePos="0" relativeHeight="251667456" behindDoc="0" locked="0" layoutInCell="1" allowOverlap="1" wp14:anchorId="764F5724" wp14:editId="5CCEF112">
                <wp:simplePos x="0" y="0"/>
                <wp:positionH relativeFrom="column">
                  <wp:posOffset>2400300</wp:posOffset>
                </wp:positionH>
                <wp:positionV relativeFrom="paragraph">
                  <wp:posOffset>95250</wp:posOffset>
                </wp:positionV>
                <wp:extent cx="1419225" cy="457200"/>
                <wp:effectExtent l="0" t="0" r="66675" b="76200"/>
                <wp:wrapNone/>
                <wp:docPr id="12" name="Straight Arrow Connector 12"/>
                <wp:cNvGraphicFramePr/>
                <a:graphic xmlns:a="http://schemas.openxmlformats.org/drawingml/2006/main">
                  <a:graphicData uri="http://schemas.microsoft.com/office/word/2010/wordprocessingShape">
                    <wps:wsp>
                      <wps:cNvCnPr/>
                      <wps:spPr>
                        <a:xfrm>
                          <a:off x="0" y="0"/>
                          <a:ext cx="1419225" cy="457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du="http://schemas.microsoft.com/office/word/2023/wordml/word16du" xmlns:oel="http://schemas.microsoft.com/office/2019/extlst">
            <w:pict>
              <v:shape w14:anchorId="078DBC86" id="Straight Arrow Connector 12" o:spid="_x0000_s1026" type="#_x0000_t32" style="position:absolute;margin-left:189pt;margin-top:7.5pt;width:111.75pt;height:36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" strokecolor="black [3200]" strokeweight=".5pt">
                <v:stroke endarrow="block" joinstyle="miter"/>
              </v:shape>
            </w:pict>
          </mc:Fallback>
        </mc:AlternateContent>
      </w:r>
    </w:p>
    <w:p w14:paraId="515FEC9A" w14:textId="77777777" w:rsidR="006348FD" w:rsidRDefault="006348FD" w:rsidP="006348FD">
      <w:pPr>
        <w:rPr>
          <w:b/>
          <w:bCs/>
        </w:rPr>
      </w:pPr>
      <w:r>
        <w:rPr>
          <w:b/>
          <w:bCs/>
          <w:noProof/>
        </w:rPr>
        <mc:AlternateContent>
          <mc:Choice Requires="wps">
            <w:drawing>
              <wp:anchor distT="0" distB="0" distL="114300" distR="114300" simplePos="0" relativeHeight="251665408" behindDoc="0" locked="0" layoutInCell="1" allowOverlap="1" wp14:anchorId="0A031616" wp14:editId="3372F59A">
                <wp:simplePos x="0" y="0"/>
                <wp:positionH relativeFrom="column">
                  <wp:posOffset>3819526</wp:posOffset>
                </wp:positionH>
                <wp:positionV relativeFrom="paragraph">
                  <wp:posOffset>72390</wp:posOffset>
                </wp:positionV>
                <wp:extent cx="1885950" cy="5715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1885950" cy="571500"/>
                        </a:xfrm>
                        <a:prstGeom prst="rect">
                          <a:avLst/>
                        </a:prstGeom>
                      </wps:spPr>
                      <wps:style>
                        <a:lnRef idx="2">
                          <a:schemeClr val="dk1"/>
                        </a:lnRef>
                        <a:fillRef idx="1">
                          <a:schemeClr val="lt1"/>
                        </a:fillRef>
                        <a:effectRef idx="0">
                          <a:schemeClr val="dk1"/>
                        </a:effectRef>
                        <a:fontRef idx="minor">
                          <a:schemeClr val="dk1"/>
                        </a:fontRef>
                      </wps:style>
                      <wps:txbx>
                        <w:txbxContent>
                          <w:p w14:paraId="58C642B7" w14:textId="77777777" w:rsidR="006348FD" w:rsidRDefault="006348FD" w:rsidP="006348FD">
                            <w:pPr>
                              <w:jc w:val="center"/>
                            </w:pPr>
                            <w:r>
                              <w:t>Money Supply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31616" id="Rectangle 10" o:spid="_x0000_s1028" style="position:absolute;margin-left:300.75pt;margin-top:5.7pt;width:148.5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" fillcolor="white [3201]" strokecolor="black [3200]" strokeweight="1pt">
                <v:textbox>
                  <w:txbxContent>
                    <w:p w14:paraId="58C642B7" w14:textId="77777777" w:rsidR="006348FD" w:rsidRDefault="006348FD" w:rsidP="006348FD">
                      <w:pPr>
                        <w:jc w:val="center"/>
                      </w:pPr>
                      <w:r>
                        <w:t>Money Supply (Y)</w:t>
                      </w:r>
                    </w:p>
                  </w:txbxContent>
                </v:textbox>
              </v:rect>
            </w:pict>
          </mc:Fallback>
        </mc:AlternateContent>
      </w:r>
      <w:r>
        <w:rPr>
          <w:b/>
          <w:bCs/>
          <w:noProof/>
        </w:rPr>
        <mc:AlternateContent>
          <mc:Choice Requires="wps">
            <w:drawing>
              <wp:anchor distT="0" distB="0" distL="114300" distR="114300" simplePos="0" relativeHeight="251661312" behindDoc="0" locked="0" layoutInCell="1" allowOverlap="1" wp14:anchorId="5C44E3D8" wp14:editId="59E5B992">
                <wp:simplePos x="0" y="0"/>
                <wp:positionH relativeFrom="column">
                  <wp:posOffset>314325</wp:posOffset>
                </wp:positionH>
                <wp:positionV relativeFrom="paragraph">
                  <wp:posOffset>159385</wp:posOffset>
                </wp:positionV>
                <wp:extent cx="2085975" cy="3333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2085975" cy="333375"/>
                        </a:xfrm>
                        <a:prstGeom prst="rect">
                          <a:avLst/>
                        </a:prstGeom>
                      </wps:spPr>
                      <wps:style>
                        <a:lnRef idx="2">
                          <a:schemeClr val="dk1"/>
                        </a:lnRef>
                        <a:fillRef idx="1">
                          <a:schemeClr val="lt1"/>
                        </a:fillRef>
                        <a:effectRef idx="0">
                          <a:schemeClr val="dk1"/>
                        </a:effectRef>
                        <a:fontRef idx="minor">
                          <a:schemeClr val="dk1"/>
                        </a:fontRef>
                      </wps:style>
                      <wps:txbx>
                        <w:txbxContent>
                          <w:p w14:paraId="46007EC0" w14:textId="77777777" w:rsidR="006348FD" w:rsidRPr="00FF23D3" w:rsidRDefault="006348FD" w:rsidP="006348FD">
                            <w:pPr>
                              <w:jc w:val="center"/>
                            </w:pPr>
                            <w:r>
                              <w:t>GDP (X</w:t>
                            </w:r>
                            <w:r>
                              <w:rPr>
                                <w:vertAlign w:val="subscript"/>
                              </w:rPr>
                              <w:t>3</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44E3D8" id="Rectangle 6" o:spid="_x0000_s1029" style="position:absolute;margin-left:24.75pt;margin-top:12.55pt;width:164.25pt;height:26.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" fillcolor="white [3201]" strokecolor="black [3200]" strokeweight="1pt">
                <v:textbox>
                  <w:txbxContent>
                    <w:p w14:paraId="46007EC0" w14:textId="77777777" w:rsidR="006348FD" w:rsidRPr="00FF23D3" w:rsidRDefault="006348FD" w:rsidP="006348FD">
                      <w:pPr>
                        <w:jc w:val="center"/>
                      </w:pPr>
                      <w:r>
                        <w:t>GDP (X</w:t>
                      </w:r>
                      <w:r>
                        <w:rPr>
                          <w:vertAlign w:val="subscript"/>
                        </w:rPr>
                        <w:t>3</w:t>
                      </w:r>
                      <w:r>
                        <w:t>)</w:t>
                      </w:r>
                    </w:p>
                  </w:txbxContent>
                </v:textbox>
              </v:rect>
            </w:pict>
          </mc:Fallback>
        </mc:AlternateContent>
      </w:r>
    </w:p>
    <w:p w14:paraId="6804B04D" w14:textId="77777777" w:rsidR="006348FD" w:rsidRDefault="006348FD" w:rsidP="006348FD">
      <w:pPr>
        <w:rPr>
          <w:b/>
          <w:bCs/>
        </w:rPr>
      </w:pPr>
      <w:r>
        <w:rPr>
          <w:b/>
          <w:bCs/>
          <w:noProof/>
        </w:rPr>
        <mc:AlternateContent>
          <mc:Choice Requires="wps">
            <w:drawing>
              <wp:anchor distT="0" distB="0" distL="114300" distR="114300" simplePos="0" relativeHeight="251671552" behindDoc="0" locked="0" layoutInCell="1" allowOverlap="1" wp14:anchorId="5D0D09A7" wp14:editId="58382FEC">
                <wp:simplePos x="0" y="0"/>
                <wp:positionH relativeFrom="column">
                  <wp:posOffset>2400299</wp:posOffset>
                </wp:positionH>
                <wp:positionV relativeFrom="paragraph">
                  <wp:posOffset>154305</wp:posOffset>
                </wp:positionV>
                <wp:extent cx="1419225" cy="47625"/>
                <wp:effectExtent l="0" t="38100" r="28575" b="85725"/>
                <wp:wrapNone/>
                <wp:docPr id="16" name="Straight Arrow Connector 16"/>
                <wp:cNvGraphicFramePr/>
                <a:graphic xmlns:a="http://schemas.openxmlformats.org/drawingml/2006/main">
                  <a:graphicData uri="http://schemas.microsoft.com/office/word/2010/wordprocessingShape">
                    <wps:wsp>
                      <wps:cNvCnPr/>
                      <wps:spPr>
                        <a:xfrm>
                          <a:off x="0" y="0"/>
                          <a:ext cx="1419225" cy="476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3B3097F9" id="Straight Arrow Connector 16" o:spid="_x0000_s1026" type="#_x0000_t32" style="position:absolute;margin-left:189pt;margin-top:12.15pt;width:111.75pt;height: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" strokecolor="black [3200]" strokeweight=".5pt">
                <v:stroke endarrow="block" joinstyle="miter"/>
              </v:shape>
            </w:pict>
          </mc:Fallback>
        </mc:AlternateContent>
      </w:r>
    </w:p>
    <w:p w14:paraId="16EC6A71" w14:textId="77777777" w:rsidR="006348FD" w:rsidRDefault="006348FD" w:rsidP="006348FD">
      <w:pPr>
        <w:rPr>
          <w:b/>
          <w:bCs/>
        </w:rPr>
      </w:pPr>
      <w:r>
        <w:rPr>
          <w:b/>
          <w:bCs/>
          <w:noProof/>
        </w:rPr>
        <mc:AlternateContent>
          <mc:Choice Requires="wps">
            <w:drawing>
              <wp:anchor distT="0" distB="0" distL="114300" distR="114300" simplePos="0" relativeHeight="251668480" behindDoc="0" locked="0" layoutInCell="1" allowOverlap="1" wp14:anchorId="7E934BEB" wp14:editId="73D478BE">
                <wp:simplePos x="0" y="0"/>
                <wp:positionH relativeFrom="column">
                  <wp:posOffset>2400300</wp:posOffset>
                </wp:positionH>
                <wp:positionV relativeFrom="paragraph">
                  <wp:posOffset>26670</wp:posOffset>
                </wp:positionV>
                <wp:extent cx="1419225" cy="1247775"/>
                <wp:effectExtent l="0" t="38100" r="47625" b="28575"/>
                <wp:wrapNone/>
                <wp:docPr id="13" name="Straight Arrow Connector 13"/>
                <wp:cNvGraphicFramePr/>
                <a:graphic xmlns:a="http://schemas.openxmlformats.org/drawingml/2006/main">
                  <a:graphicData uri="http://schemas.microsoft.com/office/word/2010/wordprocessingShape">
                    <wps:wsp>
                      <wps:cNvCnPr/>
                      <wps:spPr>
                        <a:xfrm flipV="1">
                          <a:off x="0" y="0"/>
                          <a:ext cx="1419225" cy="1247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du="http://schemas.microsoft.com/office/word/2023/wordml/word16du" xmlns:oel="http://schemas.microsoft.com/office/2019/extlst">
            <w:pict>
              <v:shape w14:anchorId="79B0B076" id="Straight Arrow Connector 13" o:spid="_x0000_s1026" type="#_x0000_t32" style="position:absolute;margin-left:189pt;margin-top:2.1pt;width:111.75pt;height:98.25pt;flip:y;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" strokecolor="black [3200]" strokeweight=".5pt">
                <v:stroke endarrow="block" joinstyle="miter"/>
              </v:shape>
            </w:pict>
          </mc:Fallback>
        </mc:AlternateContent>
      </w:r>
      <w:r>
        <w:rPr>
          <w:b/>
          <w:bCs/>
          <w:noProof/>
        </w:rPr>
        <mc:AlternateContent>
          <mc:Choice Requires="wps">
            <w:drawing>
              <wp:anchor distT="0" distB="0" distL="114300" distR="114300" simplePos="0" relativeHeight="251670528" behindDoc="0" locked="0" layoutInCell="1" allowOverlap="1" wp14:anchorId="39291353" wp14:editId="77D72C31">
                <wp:simplePos x="0" y="0"/>
                <wp:positionH relativeFrom="column">
                  <wp:posOffset>2400300</wp:posOffset>
                </wp:positionH>
                <wp:positionV relativeFrom="paragraph">
                  <wp:posOffset>26670</wp:posOffset>
                </wp:positionV>
                <wp:extent cx="1419225" cy="383540"/>
                <wp:effectExtent l="0" t="57150" r="0" b="35560"/>
                <wp:wrapNone/>
                <wp:docPr id="15" name="Straight Arrow Connector 15"/>
                <wp:cNvGraphicFramePr/>
                <a:graphic xmlns:a="http://schemas.openxmlformats.org/drawingml/2006/main">
                  <a:graphicData uri="http://schemas.microsoft.com/office/word/2010/wordprocessingShape">
                    <wps:wsp>
                      <wps:cNvCnPr/>
                      <wps:spPr>
                        <a:xfrm flipV="1">
                          <a:off x="0" y="0"/>
                          <a:ext cx="1419225" cy="3835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62BFC16D" id="Straight Arrow Connector 15" o:spid="_x0000_s1026" type="#_x0000_t32" style="position:absolute;margin-left:189pt;margin-top:2.1pt;width:111.75pt;height:30.2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" strokecolor="black [3200]" strokeweight=".5pt">
                <v:stroke endarrow="block" joinstyle="miter"/>
              </v:shape>
            </w:pict>
          </mc:Fallback>
        </mc:AlternateContent>
      </w:r>
      <w:r>
        <w:rPr>
          <w:b/>
          <w:bCs/>
          <w:noProof/>
        </w:rPr>
        <mc:AlternateContent>
          <mc:Choice Requires="wps">
            <w:drawing>
              <wp:anchor distT="0" distB="0" distL="114300" distR="114300" simplePos="0" relativeHeight="251669504" behindDoc="0" locked="0" layoutInCell="1" allowOverlap="1" wp14:anchorId="14C75A3A" wp14:editId="3EDD1174">
                <wp:simplePos x="0" y="0"/>
                <wp:positionH relativeFrom="column">
                  <wp:posOffset>2400300</wp:posOffset>
                </wp:positionH>
                <wp:positionV relativeFrom="paragraph">
                  <wp:posOffset>26670</wp:posOffset>
                </wp:positionV>
                <wp:extent cx="1419225" cy="838200"/>
                <wp:effectExtent l="0" t="38100" r="47625" b="19050"/>
                <wp:wrapNone/>
                <wp:docPr id="14" name="Straight Arrow Connector 14"/>
                <wp:cNvGraphicFramePr/>
                <a:graphic xmlns:a="http://schemas.openxmlformats.org/drawingml/2006/main">
                  <a:graphicData uri="http://schemas.microsoft.com/office/word/2010/wordprocessingShape">
                    <wps:wsp>
                      <wps:cNvCnPr/>
                      <wps:spPr>
                        <a:xfrm flipV="1">
                          <a:off x="0" y="0"/>
                          <a:ext cx="1419225" cy="838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du="http://schemas.microsoft.com/office/word/2023/wordml/word16du" xmlns:oel="http://schemas.microsoft.com/office/2019/extlst">
            <w:pict>
              <v:shape w14:anchorId="2764CACC" id="Straight Arrow Connector 14" o:spid="_x0000_s1026" type="#_x0000_t32" style="position:absolute;margin-left:189pt;margin-top:2.1pt;width:111.75pt;height:66pt;flip:y;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" strokecolor="black [3200]" strokeweight=".5pt">
                <v:stroke endarrow="block" joinstyle="miter"/>
              </v:shape>
            </w:pict>
          </mc:Fallback>
        </mc:AlternateContent>
      </w:r>
    </w:p>
    <w:p w14:paraId="06BC3D2F" w14:textId="77777777" w:rsidR="006348FD" w:rsidRDefault="006348FD" w:rsidP="006348FD">
      <w:pPr>
        <w:rPr>
          <w:b/>
          <w:bCs/>
        </w:rPr>
      </w:pPr>
      <w:r>
        <w:rPr>
          <w:b/>
          <w:bCs/>
          <w:noProof/>
        </w:rPr>
        <mc:AlternateContent>
          <mc:Choice Requires="wps">
            <w:drawing>
              <wp:anchor distT="0" distB="0" distL="114300" distR="114300" simplePos="0" relativeHeight="251662336" behindDoc="0" locked="0" layoutInCell="1" allowOverlap="1" wp14:anchorId="41F35353" wp14:editId="2ED07C3B">
                <wp:simplePos x="0" y="0"/>
                <wp:positionH relativeFrom="column">
                  <wp:posOffset>314325</wp:posOffset>
                </wp:positionH>
                <wp:positionV relativeFrom="paragraph">
                  <wp:posOffset>47625</wp:posOffset>
                </wp:positionV>
                <wp:extent cx="2085975" cy="3333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2085975" cy="333375"/>
                        </a:xfrm>
                        <a:prstGeom prst="rect">
                          <a:avLst/>
                        </a:prstGeom>
                      </wps:spPr>
                      <wps:style>
                        <a:lnRef idx="2">
                          <a:schemeClr val="dk1"/>
                        </a:lnRef>
                        <a:fillRef idx="1">
                          <a:schemeClr val="lt1"/>
                        </a:fillRef>
                        <a:effectRef idx="0">
                          <a:schemeClr val="dk1"/>
                        </a:effectRef>
                        <a:fontRef idx="minor">
                          <a:schemeClr val="dk1"/>
                        </a:fontRef>
                      </wps:style>
                      <wps:txbx>
                        <w:txbxContent>
                          <w:p w14:paraId="7D141A36" w14:textId="77777777" w:rsidR="006348FD" w:rsidRPr="00FF23D3" w:rsidRDefault="006348FD" w:rsidP="006348FD">
                            <w:pPr>
                              <w:jc w:val="center"/>
                            </w:pPr>
                            <w:r>
                              <w:t>Government Expenditure (X</w:t>
                            </w:r>
                            <w:r>
                              <w:rPr>
                                <w:vertAlign w:val="subscript"/>
                              </w:rPr>
                              <w:t>4</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F35353" id="Rectangle 7" o:spid="_x0000_s1030" style="position:absolute;margin-left:24.75pt;margin-top:3.75pt;width:164.25pt;height:26.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" fillcolor="white [3201]" strokecolor="black [3200]" strokeweight="1pt">
                <v:textbox>
                  <w:txbxContent>
                    <w:p w14:paraId="7D141A36" w14:textId="77777777" w:rsidR="006348FD" w:rsidRPr="00FF23D3" w:rsidRDefault="006348FD" w:rsidP="006348FD">
                      <w:pPr>
                        <w:jc w:val="center"/>
                      </w:pPr>
                      <w:r>
                        <w:t>Government Expenditure (X</w:t>
                      </w:r>
                      <w:r>
                        <w:rPr>
                          <w:vertAlign w:val="subscript"/>
                        </w:rPr>
                        <w:t>4</w:t>
                      </w:r>
                      <w:r>
                        <w:t>)</w:t>
                      </w:r>
                    </w:p>
                  </w:txbxContent>
                </v:textbox>
              </v:rect>
            </w:pict>
          </mc:Fallback>
        </mc:AlternateContent>
      </w:r>
    </w:p>
    <w:p w14:paraId="7E83D62A" w14:textId="77777777" w:rsidR="006348FD" w:rsidRDefault="006348FD" w:rsidP="006348FD">
      <w:pPr>
        <w:rPr>
          <w:b/>
          <w:bCs/>
        </w:rPr>
      </w:pPr>
    </w:p>
    <w:p w14:paraId="22BBFBE6" w14:textId="77777777" w:rsidR="006348FD" w:rsidRDefault="006348FD" w:rsidP="006348FD">
      <w:pPr>
        <w:rPr>
          <w:b/>
          <w:bCs/>
        </w:rPr>
      </w:pPr>
      <w:r>
        <w:rPr>
          <w:b/>
          <w:bCs/>
          <w:noProof/>
        </w:rPr>
        <mc:AlternateContent>
          <mc:Choice Requires="wps">
            <w:drawing>
              <wp:anchor distT="0" distB="0" distL="114300" distR="114300" simplePos="0" relativeHeight="251663360" behindDoc="0" locked="0" layoutInCell="1" allowOverlap="1" wp14:anchorId="0F3ABE8D" wp14:editId="5BACD5E7">
                <wp:simplePos x="0" y="0"/>
                <wp:positionH relativeFrom="column">
                  <wp:posOffset>314325</wp:posOffset>
                </wp:positionH>
                <wp:positionV relativeFrom="paragraph">
                  <wp:posOffset>125095</wp:posOffset>
                </wp:positionV>
                <wp:extent cx="2085975" cy="3333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2085975" cy="333375"/>
                        </a:xfrm>
                        <a:prstGeom prst="rect">
                          <a:avLst/>
                        </a:prstGeom>
                      </wps:spPr>
                      <wps:style>
                        <a:lnRef idx="2">
                          <a:schemeClr val="dk1"/>
                        </a:lnRef>
                        <a:fillRef idx="1">
                          <a:schemeClr val="lt1"/>
                        </a:fillRef>
                        <a:effectRef idx="0">
                          <a:schemeClr val="dk1"/>
                        </a:effectRef>
                        <a:fontRef idx="minor">
                          <a:schemeClr val="dk1"/>
                        </a:fontRef>
                      </wps:style>
                      <wps:txbx>
                        <w:txbxContent>
                          <w:p w14:paraId="06AFBE3A" w14:textId="77777777" w:rsidR="006348FD" w:rsidRPr="00FF23D3" w:rsidRDefault="006348FD" w:rsidP="006348FD">
                            <w:pPr>
                              <w:jc w:val="center"/>
                            </w:pPr>
                            <w:r>
                              <w:t>Inflation (X</w:t>
                            </w:r>
                            <w:r>
                              <w:rPr>
                                <w:vertAlign w:val="subscript"/>
                              </w:rPr>
                              <w:t>5</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3ABE8D" id="Rectangle 8" o:spid="_x0000_s1031" style="position:absolute;margin-left:24.75pt;margin-top:9.85pt;width:164.25pt;height:26.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" fillcolor="white [3201]" strokecolor="black [3200]" strokeweight="1pt">
                <v:textbox>
                  <w:txbxContent>
                    <w:p w14:paraId="06AFBE3A" w14:textId="77777777" w:rsidR="006348FD" w:rsidRPr="00FF23D3" w:rsidRDefault="006348FD" w:rsidP="006348FD">
                      <w:pPr>
                        <w:jc w:val="center"/>
                      </w:pPr>
                      <w:r>
                        <w:t>Inflation (X</w:t>
                      </w:r>
                      <w:r>
                        <w:rPr>
                          <w:vertAlign w:val="subscript"/>
                        </w:rPr>
                        <w:t>5</w:t>
                      </w:r>
                      <w:r>
                        <w:t>)</w:t>
                      </w:r>
                    </w:p>
                  </w:txbxContent>
                </v:textbox>
              </v:rect>
            </w:pict>
          </mc:Fallback>
        </mc:AlternateContent>
      </w:r>
    </w:p>
    <w:p w14:paraId="20BB7D19" w14:textId="77777777" w:rsidR="006348FD" w:rsidRDefault="006348FD" w:rsidP="006348FD">
      <w:pPr>
        <w:rPr>
          <w:b/>
          <w:bCs/>
        </w:rPr>
      </w:pPr>
    </w:p>
    <w:p w14:paraId="53BAFA0D" w14:textId="77777777" w:rsidR="006348FD" w:rsidRDefault="006348FD" w:rsidP="006348FD">
      <w:pPr>
        <w:rPr>
          <w:b/>
          <w:bCs/>
        </w:rPr>
      </w:pPr>
    </w:p>
    <w:p w14:paraId="4717B9FC" w14:textId="77777777" w:rsidR="006348FD" w:rsidRDefault="006348FD" w:rsidP="006348FD">
      <w:pPr>
        <w:rPr>
          <w:b/>
          <w:bCs/>
        </w:rPr>
      </w:pPr>
      <w:r>
        <w:rPr>
          <w:b/>
          <w:bCs/>
          <w:noProof/>
        </w:rPr>
        <mc:AlternateContent>
          <mc:Choice Requires="wps">
            <w:drawing>
              <wp:anchor distT="0" distB="0" distL="114300" distR="114300" simplePos="0" relativeHeight="251664384" behindDoc="0" locked="0" layoutInCell="1" allowOverlap="1" wp14:anchorId="1096DEFB" wp14:editId="06F4F16B">
                <wp:simplePos x="0" y="0"/>
                <wp:positionH relativeFrom="column">
                  <wp:posOffset>314325</wp:posOffset>
                </wp:positionH>
                <wp:positionV relativeFrom="paragraph">
                  <wp:posOffset>33655</wp:posOffset>
                </wp:positionV>
                <wp:extent cx="2085975" cy="3333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2085975" cy="333375"/>
                        </a:xfrm>
                        <a:prstGeom prst="rect">
                          <a:avLst/>
                        </a:prstGeom>
                      </wps:spPr>
                      <wps:style>
                        <a:lnRef idx="2">
                          <a:schemeClr val="dk1"/>
                        </a:lnRef>
                        <a:fillRef idx="1">
                          <a:schemeClr val="lt1"/>
                        </a:fillRef>
                        <a:effectRef idx="0">
                          <a:schemeClr val="dk1"/>
                        </a:effectRef>
                        <a:fontRef idx="minor">
                          <a:schemeClr val="dk1"/>
                        </a:fontRef>
                      </wps:style>
                      <wps:txbx>
                        <w:txbxContent>
                          <w:p w14:paraId="612F20F3" w14:textId="77777777" w:rsidR="006348FD" w:rsidRPr="00FF23D3" w:rsidRDefault="006348FD" w:rsidP="006348FD">
                            <w:pPr>
                              <w:jc w:val="center"/>
                            </w:pPr>
                            <w:r>
                              <w:t>Interest Rate (X</w:t>
                            </w:r>
                            <w:r>
                              <w:rPr>
                                <w:vertAlign w:val="subscript"/>
                              </w:rPr>
                              <w:t>6</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96DEFB" id="Rectangle 9" o:spid="_x0000_s1032" style="position:absolute;margin-left:24.75pt;margin-top:2.65pt;width:164.25pt;height:26.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" fillcolor="white [3201]" strokecolor="black [3200]" strokeweight="1pt">
                <v:textbox>
                  <w:txbxContent>
                    <w:p w14:paraId="612F20F3" w14:textId="77777777" w:rsidR="006348FD" w:rsidRPr="00FF23D3" w:rsidRDefault="006348FD" w:rsidP="006348FD">
                      <w:pPr>
                        <w:jc w:val="center"/>
                      </w:pPr>
                      <w:r>
                        <w:t>Interest Rate (X</w:t>
                      </w:r>
                      <w:r>
                        <w:rPr>
                          <w:vertAlign w:val="subscript"/>
                        </w:rPr>
                        <w:t>6</w:t>
                      </w:r>
                      <w:r>
                        <w:t>)</w:t>
                      </w:r>
                    </w:p>
                  </w:txbxContent>
                </v:textbox>
              </v:rect>
            </w:pict>
          </mc:Fallback>
        </mc:AlternateContent>
      </w:r>
    </w:p>
    <w:p w14:paraId="21D2C7E7" w14:textId="77777777" w:rsidR="00B944F5" w:rsidRDefault="00B944F5" w:rsidP="006348FD">
      <w:pPr>
        <w:rPr>
          <w:b/>
          <w:bCs/>
        </w:rPr>
      </w:pPr>
    </w:p>
    <w:p w14:paraId="69634A59" w14:textId="77777777" w:rsidR="006348FD" w:rsidRDefault="006348FD" w:rsidP="00A36C16">
      <w:pPr>
        <w:autoSpaceDE w:val="0"/>
        <w:autoSpaceDN w:val="0"/>
        <w:adjustRightInd w:val="0"/>
        <w:ind w:right="-7"/>
        <w:jc w:val="both"/>
        <w:rPr>
          <w:bCs/>
          <w:color w:val="000000"/>
          <w:lang w:val="nb-NO"/>
        </w:rPr>
      </w:pPr>
    </w:p>
    <w:p w14:paraId="07ABEF57" w14:textId="77777777" w:rsidR="00FC0AC3" w:rsidRDefault="00FC0AC3" w:rsidP="00AF7E6C">
      <w:pPr>
        <w:autoSpaceDE w:val="0"/>
        <w:autoSpaceDN w:val="0"/>
        <w:adjustRightInd w:val="0"/>
        <w:ind w:right="-7"/>
        <w:jc w:val="both"/>
        <w:rPr>
          <w:b/>
          <w:bCs/>
          <w:color w:val="000000"/>
          <w:lang w:val="nb-NO"/>
        </w:rPr>
      </w:pPr>
      <w:r w:rsidRPr="00A47EB2">
        <w:rPr>
          <w:b/>
          <w:bCs/>
          <w:color w:val="000000"/>
        </w:rPr>
        <w:t xml:space="preserve">RESEARCH METHODS </w:t>
      </w:r>
    </w:p>
    <w:p w14:paraId="6A09870D" w14:textId="77777777" w:rsidR="00FC0AC3" w:rsidRPr="00F34A91" w:rsidRDefault="00FC0AC3" w:rsidP="00AF7E6C">
      <w:pPr>
        <w:jc w:val="both"/>
        <w:rPr>
          <w:b/>
          <w:bCs/>
        </w:rPr>
      </w:pPr>
      <w:r w:rsidRPr="00F34A91">
        <w:rPr>
          <w:b/>
          <w:bCs/>
        </w:rPr>
        <w:t xml:space="preserve">Types of Research and Data Sources </w:t>
      </w:r>
    </w:p>
    <w:p w14:paraId="10865796" w14:textId="5B2C6C95" w:rsidR="00FC366D" w:rsidRPr="006E4EB2" w:rsidRDefault="00FC0AC3" w:rsidP="00FC366D">
      <w:pPr>
        <w:ind w:firstLine="720"/>
        <w:jc w:val="both"/>
        <w:rPr>
          <w:i/>
          <w:iCs/>
        </w:rPr>
      </w:pPr>
      <w:r w:rsidRPr="00F34A91">
        <w:t xml:space="preserve">In this study, the researcher used a quantitative method using </w:t>
      </w:r>
      <w:r w:rsidRPr="00F34A91">
        <w:rPr>
          <w:i/>
          <w:iCs/>
        </w:rPr>
        <w:t>time series</w:t>
      </w:r>
      <w:r w:rsidRPr="00F34A91">
        <w:t xml:space="preserve"> data with a time frame of 30 years from 1993</w:t>
      </w:r>
      <w:r w:rsidR="00CE7F2C">
        <w:t xml:space="preserve"> to </w:t>
      </w:r>
      <w:r w:rsidRPr="00F34A91">
        <w:t xml:space="preserve">2022. This study uses secondary data obtained reliable sources, namely from reports issued by the </w:t>
      </w:r>
      <w:r>
        <w:rPr>
          <w:i/>
          <w:iCs/>
        </w:rPr>
        <w:t>World Bank.</w:t>
      </w:r>
    </w:p>
    <w:p w14:paraId="5457D730" w14:textId="6595A55E" w:rsidR="00B32CBC" w:rsidRPr="009270A7" w:rsidRDefault="009270A7" w:rsidP="009270A7">
      <w:pPr>
        <w:ind w:firstLine="720"/>
        <w:jc w:val="center"/>
        <w:rPr>
          <w:b/>
          <w:bCs/>
        </w:rPr>
      </w:pPr>
      <w:r w:rsidRPr="009270A7">
        <w:rPr>
          <w:b/>
          <w:bCs/>
        </w:rPr>
        <w:lastRenderedPageBreak/>
        <w:t>Tab</w:t>
      </w:r>
      <w:r w:rsidR="00FC366D">
        <w:rPr>
          <w:b/>
          <w:bCs/>
        </w:rPr>
        <w:t>le 1. Definition</w:t>
      </w:r>
      <w:r w:rsidR="0067718B">
        <w:rPr>
          <w:b/>
          <w:bCs/>
        </w:rPr>
        <w:t xml:space="preserve"> Operational</w:t>
      </w:r>
      <w:r w:rsidR="00FC366D">
        <w:rPr>
          <w:b/>
          <w:bCs/>
        </w:rPr>
        <w:t xml:space="preserve"> Variables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5"/>
        <w:gridCol w:w="1418"/>
        <w:gridCol w:w="3524"/>
        <w:gridCol w:w="1283"/>
      </w:tblGrid>
      <w:tr w:rsidR="00B32CBC" w:rsidRPr="00B32CBC" w14:paraId="0FEC86DC" w14:textId="77777777" w:rsidTr="00B32CBC">
        <w:tc>
          <w:tcPr>
            <w:tcW w:w="2405" w:type="dxa"/>
            <w:vAlign w:val="center"/>
            <w:hideMark/>
          </w:tcPr>
          <w:p w14:paraId="436191E9" w14:textId="77777777" w:rsidR="00B32CBC" w:rsidRPr="00B32CBC" w:rsidRDefault="00B32CBC" w:rsidP="0034260C">
            <w:pPr>
              <w:jc w:val="center"/>
              <w:rPr>
                <w:b/>
                <w:bCs/>
                <w:color w:val="000000"/>
                <w:sz w:val="22"/>
                <w:szCs w:val="22"/>
              </w:rPr>
            </w:pPr>
            <w:r w:rsidRPr="00B32CBC">
              <w:rPr>
                <w:b/>
                <w:bCs/>
                <w:color w:val="000000"/>
                <w:sz w:val="22"/>
                <w:szCs w:val="22"/>
              </w:rPr>
              <w:t>Variabel</w:t>
            </w:r>
          </w:p>
        </w:tc>
        <w:tc>
          <w:tcPr>
            <w:tcW w:w="1418" w:type="dxa"/>
            <w:vAlign w:val="center"/>
            <w:hideMark/>
          </w:tcPr>
          <w:p w14:paraId="11276CFE" w14:textId="77777777" w:rsidR="00B32CBC" w:rsidRPr="00B32CBC" w:rsidRDefault="00B32CBC" w:rsidP="0034260C">
            <w:pPr>
              <w:jc w:val="center"/>
              <w:rPr>
                <w:b/>
                <w:bCs/>
                <w:color w:val="000000"/>
                <w:sz w:val="22"/>
                <w:szCs w:val="22"/>
              </w:rPr>
            </w:pPr>
            <w:r w:rsidRPr="00B32CBC">
              <w:rPr>
                <w:b/>
                <w:bCs/>
                <w:color w:val="000000"/>
                <w:sz w:val="22"/>
                <w:szCs w:val="22"/>
              </w:rPr>
              <w:t>Type of Variabel</w:t>
            </w:r>
          </w:p>
        </w:tc>
        <w:tc>
          <w:tcPr>
            <w:tcW w:w="3524" w:type="dxa"/>
            <w:vAlign w:val="center"/>
            <w:hideMark/>
          </w:tcPr>
          <w:p w14:paraId="308CFB7B" w14:textId="77777777" w:rsidR="00B32CBC" w:rsidRPr="00B32CBC" w:rsidRDefault="00B32CBC" w:rsidP="0034260C">
            <w:pPr>
              <w:jc w:val="center"/>
              <w:rPr>
                <w:b/>
                <w:bCs/>
                <w:color w:val="000000"/>
                <w:sz w:val="22"/>
                <w:szCs w:val="22"/>
              </w:rPr>
            </w:pPr>
            <w:r w:rsidRPr="00B32CBC">
              <w:rPr>
                <w:b/>
                <w:bCs/>
                <w:color w:val="000000"/>
                <w:sz w:val="22"/>
                <w:szCs w:val="22"/>
              </w:rPr>
              <w:t>Proxied by</w:t>
            </w:r>
          </w:p>
        </w:tc>
        <w:tc>
          <w:tcPr>
            <w:tcW w:w="1283" w:type="dxa"/>
            <w:vAlign w:val="center"/>
            <w:hideMark/>
          </w:tcPr>
          <w:p w14:paraId="2B9861CC" w14:textId="77777777" w:rsidR="00B32CBC" w:rsidRPr="00B32CBC" w:rsidRDefault="00B32CBC" w:rsidP="0034260C">
            <w:pPr>
              <w:jc w:val="center"/>
              <w:rPr>
                <w:b/>
                <w:bCs/>
                <w:color w:val="000000"/>
                <w:sz w:val="22"/>
                <w:szCs w:val="22"/>
              </w:rPr>
            </w:pPr>
            <w:r w:rsidRPr="00B32CBC">
              <w:rPr>
                <w:b/>
                <w:bCs/>
                <w:color w:val="000000"/>
                <w:sz w:val="22"/>
                <w:szCs w:val="22"/>
              </w:rPr>
              <w:t>Source</w:t>
            </w:r>
          </w:p>
        </w:tc>
      </w:tr>
      <w:tr w:rsidR="00B32CBC" w:rsidRPr="00B32CBC" w14:paraId="1E7CBB53" w14:textId="77777777" w:rsidTr="00B32CBC">
        <w:tc>
          <w:tcPr>
            <w:tcW w:w="2405" w:type="dxa"/>
            <w:vAlign w:val="center"/>
            <w:hideMark/>
          </w:tcPr>
          <w:p w14:paraId="7FFE5ECA" w14:textId="5FB93114" w:rsidR="00B32CBC" w:rsidRPr="00B32CBC" w:rsidRDefault="00B32CBC" w:rsidP="00B32CBC">
            <w:pPr>
              <w:jc w:val="both"/>
              <w:rPr>
                <w:color w:val="000000"/>
                <w:sz w:val="22"/>
                <w:szCs w:val="22"/>
              </w:rPr>
            </w:pPr>
            <w:r>
              <w:rPr>
                <w:color w:val="000000"/>
                <w:sz w:val="22"/>
                <w:szCs w:val="22"/>
              </w:rPr>
              <w:t>Money Supply</w:t>
            </w:r>
          </w:p>
        </w:tc>
        <w:tc>
          <w:tcPr>
            <w:tcW w:w="1418" w:type="dxa"/>
            <w:vAlign w:val="center"/>
            <w:hideMark/>
          </w:tcPr>
          <w:p w14:paraId="5C87666A" w14:textId="77777777" w:rsidR="00B32CBC" w:rsidRPr="00B32CBC" w:rsidRDefault="00B32CBC" w:rsidP="00B32CBC">
            <w:pPr>
              <w:jc w:val="center"/>
              <w:rPr>
                <w:color w:val="000000"/>
                <w:sz w:val="22"/>
                <w:szCs w:val="22"/>
              </w:rPr>
            </w:pPr>
            <w:r w:rsidRPr="00B32CBC">
              <w:rPr>
                <w:color w:val="000000"/>
                <w:sz w:val="22"/>
                <w:szCs w:val="22"/>
              </w:rPr>
              <w:t>Dependent</w:t>
            </w:r>
          </w:p>
        </w:tc>
        <w:tc>
          <w:tcPr>
            <w:tcW w:w="3524" w:type="dxa"/>
            <w:vAlign w:val="center"/>
            <w:hideMark/>
          </w:tcPr>
          <w:p w14:paraId="5170D43D" w14:textId="339D9EC6" w:rsidR="00B32CBC" w:rsidRPr="00B32CBC" w:rsidRDefault="00B32CBC" w:rsidP="00B32CBC">
            <w:pPr>
              <w:jc w:val="both"/>
              <w:rPr>
                <w:color w:val="000000"/>
                <w:sz w:val="22"/>
                <w:szCs w:val="22"/>
                <w:lang w:val="en-ID" w:eastAsia="en-ID"/>
              </w:rPr>
            </w:pPr>
            <w:r w:rsidRPr="00B32CBC">
              <w:rPr>
                <w:color w:val="000000"/>
                <w:sz w:val="22"/>
                <w:szCs w:val="22"/>
              </w:rPr>
              <w:t>Broad money growth(annual%)</w:t>
            </w:r>
          </w:p>
        </w:tc>
        <w:tc>
          <w:tcPr>
            <w:tcW w:w="1283" w:type="dxa"/>
            <w:vAlign w:val="center"/>
            <w:hideMark/>
          </w:tcPr>
          <w:p w14:paraId="708AF8EE" w14:textId="00004FF6" w:rsidR="00B32CBC" w:rsidRPr="00B32CBC" w:rsidRDefault="00B32CBC" w:rsidP="00B32CBC">
            <w:pPr>
              <w:jc w:val="both"/>
              <w:rPr>
                <w:color w:val="000000"/>
                <w:sz w:val="22"/>
                <w:szCs w:val="22"/>
              </w:rPr>
            </w:pPr>
            <w:r w:rsidRPr="00B32CBC">
              <w:rPr>
                <w:color w:val="000000"/>
                <w:sz w:val="22"/>
                <w:szCs w:val="22"/>
              </w:rPr>
              <w:t>World Bank</w:t>
            </w:r>
          </w:p>
        </w:tc>
      </w:tr>
      <w:tr w:rsidR="00B32CBC" w:rsidRPr="00B32CBC" w14:paraId="7ED83F12" w14:textId="77777777" w:rsidTr="00B32CBC">
        <w:tc>
          <w:tcPr>
            <w:tcW w:w="2405" w:type="dxa"/>
            <w:vAlign w:val="center"/>
            <w:hideMark/>
          </w:tcPr>
          <w:p w14:paraId="322B122E" w14:textId="6819790F" w:rsidR="00B32CBC" w:rsidRPr="00B32CBC" w:rsidRDefault="00B32CBC" w:rsidP="00B32CBC">
            <w:pPr>
              <w:jc w:val="both"/>
              <w:rPr>
                <w:color w:val="000000"/>
                <w:sz w:val="22"/>
                <w:szCs w:val="22"/>
              </w:rPr>
            </w:pPr>
            <w:r>
              <w:rPr>
                <w:color w:val="000000"/>
                <w:sz w:val="22"/>
                <w:szCs w:val="22"/>
              </w:rPr>
              <w:t>Exchange Rate</w:t>
            </w:r>
          </w:p>
        </w:tc>
        <w:tc>
          <w:tcPr>
            <w:tcW w:w="1418" w:type="dxa"/>
            <w:vAlign w:val="center"/>
            <w:hideMark/>
          </w:tcPr>
          <w:p w14:paraId="39653CF0" w14:textId="77777777" w:rsidR="00B32CBC" w:rsidRPr="00B32CBC" w:rsidRDefault="00B32CBC" w:rsidP="00B32CBC">
            <w:pPr>
              <w:jc w:val="center"/>
              <w:rPr>
                <w:color w:val="000000"/>
                <w:sz w:val="22"/>
                <w:szCs w:val="22"/>
              </w:rPr>
            </w:pPr>
            <w:r w:rsidRPr="00B32CBC">
              <w:rPr>
                <w:color w:val="000000"/>
                <w:sz w:val="22"/>
                <w:szCs w:val="22"/>
              </w:rPr>
              <w:t>Independent</w:t>
            </w:r>
          </w:p>
        </w:tc>
        <w:tc>
          <w:tcPr>
            <w:tcW w:w="3524" w:type="dxa"/>
            <w:vAlign w:val="center"/>
            <w:hideMark/>
          </w:tcPr>
          <w:p w14:paraId="7BDF8EF0" w14:textId="1623166F" w:rsidR="00B32CBC" w:rsidRPr="00B32CBC" w:rsidRDefault="00B32CBC" w:rsidP="00B32CBC">
            <w:pPr>
              <w:jc w:val="both"/>
              <w:rPr>
                <w:color w:val="000000"/>
                <w:sz w:val="22"/>
                <w:szCs w:val="22"/>
                <w:lang w:val="en-ID" w:eastAsia="en-ID"/>
              </w:rPr>
            </w:pPr>
            <w:r w:rsidRPr="00B32CBC">
              <w:rPr>
                <w:color w:val="000000"/>
                <w:sz w:val="22"/>
                <w:szCs w:val="22"/>
              </w:rPr>
              <w:t>LCU per US$</w:t>
            </w:r>
          </w:p>
        </w:tc>
        <w:tc>
          <w:tcPr>
            <w:tcW w:w="1283" w:type="dxa"/>
            <w:vAlign w:val="center"/>
            <w:hideMark/>
          </w:tcPr>
          <w:p w14:paraId="4A7B7F87" w14:textId="0760C17E" w:rsidR="00B32CBC" w:rsidRPr="00B32CBC" w:rsidRDefault="00B32CBC" w:rsidP="00B32CBC">
            <w:pPr>
              <w:jc w:val="both"/>
              <w:rPr>
                <w:color w:val="000000"/>
                <w:sz w:val="22"/>
                <w:szCs w:val="22"/>
              </w:rPr>
            </w:pPr>
            <w:r w:rsidRPr="00B32CBC">
              <w:rPr>
                <w:color w:val="000000"/>
                <w:sz w:val="22"/>
                <w:szCs w:val="22"/>
              </w:rPr>
              <w:t>World Bank</w:t>
            </w:r>
          </w:p>
        </w:tc>
      </w:tr>
      <w:tr w:rsidR="009270A7" w:rsidRPr="00B32CBC" w14:paraId="2DE93320" w14:textId="77777777" w:rsidTr="00B32CBC">
        <w:tc>
          <w:tcPr>
            <w:tcW w:w="2405" w:type="dxa"/>
            <w:vAlign w:val="center"/>
          </w:tcPr>
          <w:p w14:paraId="677DA611" w14:textId="56A69B93" w:rsidR="009270A7" w:rsidRDefault="009270A7" w:rsidP="009270A7">
            <w:pPr>
              <w:jc w:val="both"/>
              <w:rPr>
                <w:color w:val="000000"/>
                <w:sz w:val="22"/>
                <w:szCs w:val="22"/>
              </w:rPr>
            </w:pPr>
            <w:r>
              <w:rPr>
                <w:color w:val="000000"/>
                <w:sz w:val="22"/>
                <w:szCs w:val="22"/>
              </w:rPr>
              <w:t>Foreign Direct Investment</w:t>
            </w:r>
          </w:p>
        </w:tc>
        <w:tc>
          <w:tcPr>
            <w:tcW w:w="1418" w:type="dxa"/>
            <w:vAlign w:val="center"/>
          </w:tcPr>
          <w:p w14:paraId="5A58B54A" w14:textId="0938C631" w:rsidR="009270A7" w:rsidRPr="00B32CBC" w:rsidRDefault="009270A7" w:rsidP="009270A7">
            <w:pPr>
              <w:jc w:val="center"/>
              <w:rPr>
                <w:color w:val="000000"/>
                <w:sz w:val="22"/>
                <w:szCs w:val="22"/>
              </w:rPr>
            </w:pPr>
            <w:r w:rsidRPr="00B32CBC">
              <w:rPr>
                <w:color w:val="000000"/>
                <w:sz w:val="22"/>
                <w:szCs w:val="22"/>
              </w:rPr>
              <w:t>Independent</w:t>
            </w:r>
          </w:p>
        </w:tc>
        <w:tc>
          <w:tcPr>
            <w:tcW w:w="3524" w:type="dxa"/>
            <w:vAlign w:val="center"/>
          </w:tcPr>
          <w:p w14:paraId="182FACEE" w14:textId="061C287C" w:rsidR="009270A7" w:rsidRPr="00B32CBC" w:rsidRDefault="009270A7" w:rsidP="009270A7">
            <w:pPr>
              <w:jc w:val="both"/>
              <w:rPr>
                <w:color w:val="000000"/>
                <w:sz w:val="22"/>
                <w:szCs w:val="22"/>
              </w:rPr>
            </w:pPr>
            <w:r w:rsidRPr="00B32CBC">
              <w:rPr>
                <w:color w:val="000000"/>
                <w:sz w:val="22"/>
                <w:szCs w:val="22"/>
              </w:rPr>
              <w:t>Foreign direct investment, net inflows (% of GDP)</w:t>
            </w:r>
          </w:p>
        </w:tc>
        <w:tc>
          <w:tcPr>
            <w:tcW w:w="1283" w:type="dxa"/>
            <w:vAlign w:val="center"/>
          </w:tcPr>
          <w:p w14:paraId="7809E027" w14:textId="1C0F7AF8" w:rsidR="009270A7" w:rsidRPr="00B32CBC" w:rsidRDefault="009270A7" w:rsidP="009270A7">
            <w:pPr>
              <w:jc w:val="both"/>
              <w:rPr>
                <w:color w:val="000000"/>
                <w:sz w:val="22"/>
                <w:szCs w:val="22"/>
              </w:rPr>
            </w:pPr>
            <w:r>
              <w:rPr>
                <w:color w:val="000000"/>
                <w:sz w:val="22"/>
                <w:szCs w:val="22"/>
              </w:rPr>
              <w:t>World Bank</w:t>
            </w:r>
          </w:p>
        </w:tc>
      </w:tr>
      <w:tr w:rsidR="009270A7" w:rsidRPr="00B32CBC" w14:paraId="33EBBE9E" w14:textId="77777777" w:rsidTr="00B32CBC">
        <w:tc>
          <w:tcPr>
            <w:tcW w:w="2405" w:type="dxa"/>
            <w:vAlign w:val="center"/>
          </w:tcPr>
          <w:p w14:paraId="4EB9A7F7" w14:textId="39C9E95D" w:rsidR="009270A7" w:rsidRDefault="009270A7" w:rsidP="009270A7">
            <w:pPr>
              <w:rPr>
                <w:color w:val="000000"/>
                <w:sz w:val="22"/>
                <w:szCs w:val="22"/>
              </w:rPr>
            </w:pPr>
            <w:r>
              <w:rPr>
                <w:color w:val="000000"/>
                <w:sz w:val="22"/>
                <w:szCs w:val="22"/>
              </w:rPr>
              <w:t>GDP</w:t>
            </w:r>
          </w:p>
        </w:tc>
        <w:tc>
          <w:tcPr>
            <w:tcW w:w="1418" w:type="dxa"/>
            <w:vAlign w:val="center"/>
          </w:tcPr>
          <w:p w14:paraId="436D9D53" w14:textId="343C0E62" w:rsidR="009270A7" w:rsidRPr="00B32CBC" w:rsidRDefault="009270A7" w:rsidP="009270A7">
            <w:pPr>
              <w:jc w:val="center"/>
              <w:rPr>
                <w:color w:val="000000"/>
                <w:sz w:val="22"/>
                <w:szCs w:val="22"/>
              </w:rPr>
            </w:pPr>
            <w:r>
              <w:rPr>
                <w:color w:val="000000"/>
                <w:sz w:val="22"/>
                <w:szCs w:val="22"/>
              </w:rPr>
              <w:t>Independent</w:t>
            </w:r>
          </w:p>
        </w:tc>
        <w:tc>
          <w:tcPr>
            <w:tcW w:w="3524" w:type="dxa"/>
            <w:vAlign w:val="center"/>
          </w:tcPr>
          <w:p w14:paraId="5F3956E3" w14:textId="5E785B16" w:rsidR="009270A7" w:rsidRPr="00B32CBC" w:rsidRDefault="009270A7" w:rsidP="009270A7">
            <w:pPr>
              <w:jc w:val="both"/>
              <w:rPr>
                <w:color w:val="000000"/>
                <w:sz w:val="22"/>
                <w:szCs w:val="22"/>
              </w:rPr>
            </w:pPr>
            <w:r w:rsidRPr="00B32CBC">
              <w:rPr>
                <w:color w:val="000000"/>
                <w:sz w:val="22"/>
                <w:szCs w:val="22"/>
              </w:rPr>
              <w:t>GDP growth (annual %)</w:t>
            </w:r>
          </w:p>
        </w:tc>
        <w:tc>
          <w:tcPr>
            <w:tcW w:w="1283" w:type="dxa"/>
            <w:vAlign w:val="center"/>
          </w:tcPr>
          <w:p w14:paraId="35C72539" w14:textId="1CAEC0B7" w:rsidR="009270A7" w:rsidRPr="00B32CBC" w:rsidRDefault="009270A7" w:rsidP="009270A7">
            <w:pPr>
              <w:jc w:val="both"/>
              <w:rPr>
                <w:color w:val="000000"/>
                <w:sz w:val="22"/>
                <w:szCs w:val="22"/>
              </w:rPr>
            </w:pPr>
            <w:r>
              <w:rPr>
                <w:color w:val="000000"/>
                <w:sz w:val="22"/>
                <w:szCs w:val="22"/>
              </w:rPr>
              <w:t>World Bank</w:t>
            </w:r>
          </w:p>
        </w:tc>
      </w:tr>
      <w:tr w:rsidR="009270A7" w:rsidRPr="00B32CBC" w14:paraId="6B059D01" w14:textId="77777777" w:rsidTr="00B32CBC">
        <w:tc>
          <w:tcPr>
            <w:tcW w:w="2405" w:type="dxa"/>
            <w:vAlign w:val="center"/>
          </w:tcPr>
          <w:p w14:paraId="2C786D7C" w14:textId="54CA17F8" w:rsidR="009270A7" w:rsidRDefault="009270A7" w:rsidP="009270A7">
            <w:pPr>
              <w:rPr>
                <w:color w:val="000000"/>
                <w:sz w:val="22"/>
                <w:szCs w:val="22"/>
              </w:rPr>
            </w:pPr>
            <w:r>
              <w:rPr>
                <w:color w:val="000000"/>
                <w:sz w:val="22"/>
                <w:szCs w:val="22"/>
              </w:rPr>
              <w:t>Government Expenditure</w:t>
            </w:r>
          </w:p>
        </w:tc>
        <w:tc>
          <w:tcPr>
            <w:tcW w:w="1418" w:type="dxa"/>
            <w:vAlign w:val="center"/>
          </w:tcPr>
          <w:p w14:paraId="230CF6E1" w14:textId="20CA17C2" w:rsidR="009270A7" w:rsidRDefault="009270A7" w:rsidP="009270A7">
            <w:pPr>
              <w:jc w:val="center"/>
              <w:rPr>
                <w:color w:val="000000"/>
                <w:sz w:val="22"/>
                <w:szCs w:val="22"/>
              </w:rPr>
            </w:pPr>
            <w:r w:rsidRPr="00B32CBC">
              <w:rPr>
                <w:color w:val="000000"/>
                <w:sz w:val="22"/>
                <w:szCs w:val="22"/>
              </w:rPr>
              <w:t>Independent</w:t>
            </w:r>
          </w:p>
        </w:tc>
        <w:tc>
          <w:tcPr>
            <w:tcW w:w="3524" w:type="dxa"/>
            <w:vAlign w:val="center"/>
          </w:tcPr>
          <w:p w14:paraId="4367DE7E" w14:textId="62B1A55D" w:rsidR="009270A7" w:rsidRPr="00B32CBC" w:rsidRDefault="009270A7" w:rsidP="009270A7">
            <w:pPr>
              <w:jc w:val="both"/>
              <w:rPr>
                <w:color w:val="000000"/>
                <w:sz w:val="22"/>
                <w:szCs w:val="22"/>
              </w:rPr>
            </w:pPr>
            <w:r w:rsidRPr="00B32CBC">
              <w:rPr>
                <w:color w:val="000000"/>
                <w:sz w:val="22"/>
                <w:szCs w:val="22"/>
              </w:rPr>
              <w:t>General government final consumption expenditure (% of GDP)</w:t>
            </w:r>
          </w:p>
        </w:tc>
        <w:tc>
          <w:tcPr>
            <w:tcW w:w="1283" w:type="dxa"/>
            <w:vAlign w:val="center"/>
          </w:tcPr>
          <w:p w14:paraId="02CF6FEE" w14:textId="1E6764D0" w:rsidR="009270A7" w:rsidRDefault="009270A7" w:rsidP="009270A7">
            <w:pPr>
              <w:jc w:val="both"/>
              <w:rPr>
                <w:color w:val="000000"/>
                <w:sz w:val="22"/>
                <w:szCs w:val="22"/>
              </w:rPr>
            </w:pPr>
            <w:r w:rsidRPr="00B32CBC">
              <w:rPr>
                <w:color w:val="000000"/>
                <w:sz w:val="22"/>
                <w:szCs w:val="22"/>
              </w:rPr>
              <w:t>World Bank</w:t>
            </w:r>
          </w:p>
        </w:tc>
      </w:tr>
      <w:tr w:rsidR="009270A7" w:rsidRPr="00B32CBC" w14:paraId="5D06A840" w14:textId="77777777" w:rsidTr="00B32CBC">
        <w:tc>
          <w:tcPr>
            <w:tcW w:w="2405" w:type="dxa"/>
            <w:vAlign w:val="center"/>
          </w:tcPr>
          <w:p w14:paraId="08D35642" w14:textId="20B68E1C" w:rsidR="009270A7" w:rsidRDefault="009270A7" w:rsidP="009270A7">
            <w:pPr>
              <w:rPr>
                <w:color w:val="000000"/>
                <w:sz w:val="22"/>
                <w:szCs w:val="22"/>
              </w:rPr>
            </w:pPr>
            <w:r>
              <w:rPr>
                <w:color w:val="000000"/>
                <w:sz w:val="22"/>
                <w:szCs w:val="22"/>
              </w:rPr>
              <w:t>Inflation</w:t>
            </w:r>
          </w:p>
        </w:tc>
        <w:tc>
          <w:tcPr>
            <w:tcW w:w="1418" w:type="dxa"/>
            <w:vAlign w:val="center"/>
          </w:tcPr>
          <w:p w14:paraId="2EA0DBD3" w14:textId="6683D309" w:rsidR="009270A7" w:rsidRPr="00B32CBC" w:rsidRDefault="009270A7" w:rsidP="009270A7">
            <w:pPr>
              <w:jc w:val="center"/>
              <w:rPr>
                <w:color w:val="000000"/>
                <w:sz w:val="22"/>
                <w:szCs w:val="22"/>
              </w:rPr>
            </w:pPr>
            <w:r w:rsidRPr="00B32CBC">
              <w:rPr>
                <w:color w:val="000000"/>
                <w:sz w:val="22"/>
                <w:szCs w:val="22"/>
              </w:rPr>
              <w:t>Independent</w:t>
            </w:r>
          </w:p>
        </w:tc>
        <w:tc>
          <w:tcPr>
            <w:tcW w:w="3524" w:type="dxa"/>
            <w:vAlign w:val="center"/>
          </w:tcPr>
          <w:p w14:paraId="6C1DE9D1" w14:textId="15C463F5" w:rsidR="009270A7" w:rsidRPr="00B32CBC" w:rsidRDefault="009270A7" w:rsidP="009270A7">
            <w:pPr>
              <w:jc w:val="both"/>
              <w:rPr>
                <w:color w:val="000000"/>
                <w:sz w:val="22"/>
                <w:szCs w:val="22"/>
              </w:rPr>
            </w:pPr>
            <w:r w:rsidRPr="00B32CBC">
              <w:rPr>
                <w:color w:val="000000"/>
                <w:sz w:val="22"/>
                <w:szCs w:val="22"/>
              </w:rPr>
              <w:t>Inflation, consumer prices (annual %)</w:t>
            </w:r>
          </w:p>
        </w:tc>
        <w:tc>
          <w:tcPr>
            <w:tcW w:w="1283" w:type="dxa"/>
            <w:vAlign w:val="center"/>
          </w:tcPr>
          <w:p w14:paraId="529FF1A8" w14:textId="1B415F36" w:rsidR="009270A7" w:rsidRPr="00B32CBC" w:rsidRDefault="009270A7" w:rsidP="009270A7">
            <w:pPr>
              <w:jc w:val="both"/>
              <w:rPr>
                <w:color w:val="000000"/>
                <w:sz w:val="22"/>
                <w:szCs w:val="22"/>
              </w:rPr>
            </w:pPr>
            <w:r>
              <w:rPr>
                <w:color w:val="000000"/>
                <w:sz w:val="22"/>
                <w:szCs w:val="22"/>
              </w:rPr>
              <w:t>World Bank</w:t>
            </w:r>
          </w:p>
        </w:tc>
      </w:tr>
      <w:tr w:rsidR="009270A7" w:rsidRPr="00B32CBC" w14:paraId="1F1F60A8" w14:textId="77777777" w:rsidTr="00B32CBC">
        <w:tc>
          <w:tcPr>
            <w:tcW w:w="2405" w:type="dxa"/>
            <w:vAlign w:val="center"/>
            <w:hideMark/>
          </w:tcPr>
          <w:p w14:paraId="48F89E5C" w14:textId="643D5EF1" w:rsidR="009270A7" w:rsidRPr="00B32CBC" w:rsidRDefault="009270A7" w:rsidP="009270A7">
            <w:pPr>
              <w:jc w:val="both"/>
              <w:rPr>
                <w:color w:val="000000"/>
                <w:sz w:val="22"/>
                <w:szCs w:val="22"/>
              </w:rPr>
            </w:pPr>
            <w:r>
              <w:rPr>
                <w:color w:val="000000"/>
                <w:sz w:val="22"/>
                <w:szCs w:val="22"/>
              </w:rPr>
              <w:t>Interest Rate</w:t>
            </w:r>
          </w:p>
        </w:tc>
        <w:tc>
          <w:tcPr>
            <w:tcW w:w="1418" w:type="dxa"/>
            <w:vAlign w:val="center"/>
            <w:hideMark/>
          </w:tcPr>
          <w:p w14:paraId="04DFFCFA" w14:textId="77777777" w:rsidR="009270A7" w:rsidRPr="00B32CBC" w:rsidRDefault="009270A7" w:rsidP="009270A7">
            <w:pPr>
              <w:jc w:val="center"/>
              <w:rPr>
                <w:color w:val="000000"/>
                <w:sz w:val="22"/>
                <w:szCs w:val="22"/>
              </w:rPr>
            </w:pPr>
            <w:r w:rsidRPr="00B32CBC">
              <w:rPr>
                <w:color w:val="000000"/>
                <w:sz w:val="22"/>
                <w:szCs w:val="22"/>
              </w:rPr>
              <w:t>Independent</w:t>
            </w:r>
          </w:p>
        </w:tc>
        <w:tc>
          <w:tcPr>
            <w:tcW w:w="3524" w:type="dxa"/>
            <w:vAlign w:val="center"/>
            <w:hideMark/>
          </w:tcPr>
          <w:p w14:paraId="1FF8B639" w14:textId="305038B1" w:rsidR="009270A7" w:rsidRPr="00B32CBC" w:rsidRDefault="009270A7" w:rsidP="009270A7">
            <w:pPr>
              <w:jc w:val="both"/>
              <w:rPr>
                <w:color w:val="000000"/>
                <w:sz w:val="22"/>
                <w:szCs w:val="22"/>
                <w:lang w:val="en-ID" w:eastAsia="en-ID"/>
              </w:rPr>
            </w:pPr>
            <w:r w:rsidRPr="00B32CBC">
              <w:rPr>
                <w:color w:val="000000"/>
                <w:sz w:val="22"/>
                <w:szCs w:val="22"/>
              </w:rPr>
              <w:t>Real interest rate (%)</w:t>
            </w:r>
          </w:p>
        </w:tc>
        <w:tc>
          <w:tcPr>
            <w:tcW w:w="1283" w:type="dxa"/>
            <w:vAlign w:val="center"/>
            <w:hideMark/>
          </w:tcPr>
          <w:p w14:paraId="2373736A" w14:textId="77777777" w:rsidR="009270A7" w:rsidRPr="00B32CBC" w:rsidRDefault="009270A7" w:rsidP="009270A7">
            <w:pPr>
              <w:jc w:val="both"/>
              <w:rPr>
                <w:color w:val="000000"/>
                <w:sz w:val="22"/>
                <w:szCs w:val="22"/>
              </w:rPr>
            </w:pPr>
            <w:r w:rsidRPr="00B32CBC">
              <w:rPr>
                <w:color w:val="000000"/>
                <w:sz w:val="22"/>
                <w:szCs w:val="22"/>
              </w:rPr>
              <w:t>World Bank</w:t>
            </w:r>
          </w:p>
        </w:tc>
      </w:tr>
    </w:tbl>
    <w:p w14:paraId="59446BF1" w14:textId="77777777" w:rsidR="00B32CBC" w:rsidRPr="00F34A91" w:rsidRDefault="00B32CBC" w:rsidP="00B32CBC">
      <w:pPr>
        <w:jc w:val="both"/>
      </w:pPr>
    </w:p>
    <w:p w14:paraId="4128E528" w14:textId="77777777" w:rsidR="00FC0AC3" w:rsidRPr="00F34A91" w:rsidRDefault="00FC0AC3" w:rsidP="003D4BF5">
      <w:pPr>
        <w:jc w:val="both"/>
        <w:rPr>
          <w:b/>
          <w:bCs/>
        </w:rPr>
      </w:pPr>
      <w:r w:rsidRPr="00F34A91">
        <w:rPr>
          <w:b/>
          <w:bCs/>
        </w:rPr>
        <w:t xml:space="preserve">Analysis Methods </w:t>
      </w:r>
    </w:p>
    <w:p w14:paraId="64A1413B" w14:textId="2C7078C8" w:rsidR="00C945A6" w:rsidRPr="00F34A91" w:rsidRDefault="00FC0AC3" w:rsidP="007030B1">
      <w:pPr>
        <w:ind w:firstLine="567"/>
        <w:jc w:val="both"/>
      </w:pPr>
      <w:r w:rsidRPr="007030B1">
        <w:t xml:space="preserve">In this study, the researcher conducted a regression analysis using the </w:t>
      </w:r>
      <w:r w:rsidRPr="00B944F5">
        <w:rPr>
          <w:i/>
          <w:iCs/>
        </w:rPr>
        <w:t>Error Correction Model</w:t>
      </w:r>
      <w:r w:rsidRPr="00F34A91">
        <w:t xml:space="preserve"> (ECM) method. The ECM model is used to see the long-term and short-term effects </w:t>
      </w:r>
      <w:r w:rsidR="00CE7F2C">
        <w:t>of</w:t>
      </w:r>
      <w:r w:rsidRPr="00F34A91">
        <w:t xml:space="preserve"> existing variables </w:t>
      </w:r>
      <w:r w:rsidR="00C945A6" w:rsidRPr="00F34A91">
        <w:fldChar w:fldCharType="begin" w:fldLock="1"/>
      </w:r>
      <w:r w:rsidR="00004B81">
        <w:instrText>ADDIN CSL_CITATION {"citationItems":[{"id":"ITEM-1","itemData":{"ISSN":"22778616","abstract":"Improvement of Indonesia's foreign debt has become a huge debt burden for the country of Indonesia. This study aimed to analyse the influence of GDP, the budget deficit, exchange rate, inflation, and interest rates on foreign debts Indonesia. The data used in this research is secondary data in the form of time series over the period 1998-2017. Analysis of the data in this study using error correction model (ECM) to see the relationship of short-term and long-term external debt of Indonesia. The results showed that in the short term variable GDP, the budget deficit, the exchange rate had a positive effect and are not significant, inflation has a positive and significant impact, while the interest rate has a negative and significant impact on foreign debts Indonesia. In the long term, variable GDP and the exchange rate has a negative and significant impact, the budget deficit and inflation has a positive and significant influence, and interest rates have a negative effect and no significant effect on Indonesia's foreign debt. The coefficient of determination of 94.4 percent indicated that the GDP, the budget deficit, exchange rate, inflation and interest rates have a very big influence on foreign debts Indonesia.","author":[{"dropping-particle":"","family":"Lubis","given":"Sri Rosliana","non-dropping-particle":"","parse-names":false,"suffix":""}],"container-title":"International Journal of Scientific and Technology Research","id":"ITEM-1","issue":"2","issued":{"date-parts":[["2020"]]},"page":"2419-2424","title":"Determinant analysis of Indonesian foreign debt (Error correction model approach)","type":"article-journal","volume":"9"},"uris":["http://www.mendeley.com/documents/?uuid=7e3bfe91-68cf-459f-863d-63d915a857a5","http://www.mendeley.com/documents/?uuid=74c3747d-4c9e-4979-83a8-10488e357cfa"]}],"mendeley":{"formattedCitation":"(Lubis, 2020)","plainTextFormattedCitation":"(Lubis, 2020)","previouslyFormattedCitation":"(Lubis, 2020)"},"properties":{"noteIndex":0},"schema":"https://github.com/citation-style-language/schema/raw/master/csl-citation.json"}</w:instrText>
      </w:r>
      <w:r w:rsidR="00C945A6" w:rsidRPr="00F34A91">
        <w:fldChar w:fldCharType="separate"/>
      </w:r>
      <w:r w:rsidR="00C945A6" w:rsidRPr="00F34A91">
        <w:rPr>
          <w:noProof/>
        </w:rPr>
        <w:t>(Lubis, 2020)</w:t>
      </w:r>
      <w:r w:rsidR="00C945A6" w:rsidRPr="00F34A91">
        <w:fldChar w:fldCharType="end"/>
      </w:r>
      <w:r w:rsidR="00C945A6" w:rsidRPr="00F34A91">
        <w:t xml:space="preserve">.  </w:t>
      </w:r>
      <w:r w:rsidRPr="00F34A91">
        <w:t>The stages that must be carried out before conducting the ECM test are stationary tests, cointegration tests</w:t>
      </w:r>
      <w:r w:rsidR="00CE7F2C">
        <w:t>,</w:t>
      </w:r>
      <w:r w:rsidRPr="00F34A91">
        <w:t xml:space="preserve"> and long-term estimation. Below is a long-term estimation model: </w:t>
      </w:r>
    </w:p>
    <w:p w14:paraId="5CD232DF" w14:textId="77777777" w:rsidR="006E4EB2" w:rsidRDefault="006E4EB2" w:rsidP="00554714">
      <w:pPr>
        <w:jc w:val="center"/>
      </w:pPr>
    </w:p>
    <w:p w14:paraId="19505AF1" w14:textId="2764B075" w:rsidR="00C945A6" w:rsidRPr="00F34A91" w:rsidRDefault="004C472D" w:rsidP="00554714">
      <w:pPr>
        <w:jc w:val="center"/>
        <w:rPr>
          <w:rFonts w:eastAsiaTheme="minorEastAsia"/>
        </w:rPr>
      </w:pPr>
      <m:oMathPara>
        <m:oMath>
          <m:sSub>
            <m:sSubPr>
              <m:ctrlPr>
                <w:rPr>
                  <w:rFonts w:ascii="Cambria Math" w:hAnsi="Cambria Math"/>
                  <w:i/>
                </w:rPr>
              </m:ctrlPr>
            </m:sSubPr>
            <m:e>
              <m:r>
                <w:rPr>
                  <w:rFonts w:ascii="Cambria Math" w:hAnsi="Cambria Math"/>
                </w:rPr>
                <m:t>MS</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ER</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FDI</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sSub>
            <m:sSubPr>
              <m:ctrlPr>
                <w:rPr>
                  <w:rFonts w:ascii="Cambria Math" w:hAnsi="Cambria Math"/>
                  <w:i/>
                </w:rPr>
              </m:ctrlPr>
            </m:sSubPr>
            <m:e>
              <m:r>
                <w:rPr>
                  <w:rFonts w:ascii="Cambria Math" w:hAnsi="Cambria Math"/>
                </w:rPr>
                <m:t>GDP</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4</m:t>
              </m:r>
            </m:sub>
          </m:sSub>
          <m:sSub>
            <m:sSubPr>
              <m:ctrlPr>
                <w:rPr>
                  <w:rFonts w:ascii="Cambria Math" w:hAnsi="Cambria Math"/>
                  <w:i/>
                </w:rPr>
              </m:ctrlPr>
            </m:sSubPr>
            <m:e>
              <m:r>
                <w:rPr>
                  <w:rFonts w:ascii="Cambria Math" w:hAnsi="Cambria Math"/>
                </w:rPr>
                <m:t>GE</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5</m:t>
              </m:r>
            </m:sub>
          </m:sSub>
          <m:sSub>
            <m:sSubPr>
              <m:ctrlPr>
                <w:rPr>
                  <w:rFonts w:ascii="Cambria Math" w:hAnsi="Cambria Math"/>
                  <w:i/>
                </w:rPr>
              </m:ctrlPr>
            </m:sSubPr>
            <m:e>
              <m:r>
                <w:rPr>
                  <w:rFonts w:ascii="Cambria Math" w:hAnsi="Cambria Math"/>
                </w:rPr>
                <m:t>INF</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6</m:t>
              </m:r>
            </m:sub>
          </m:sSub>
          <m:sSub>
            <m:sSubPr>
              <m:ctrlPr>
                <w:rPr>
                  <w:rFonts w:ascii="Cambria Math" w:hAnsi="Cambria Math"/>
                  <w:i/>
                </w:rPr>
              </m:ctrlPr>
            </m:sSubPr>
            <m:e>
              <m:r>
                <w:rPr>
                  <w:rFonts w:ascii="Cambria Math" w:hAnsi="Cambria Math"/>
                </w:rPr>
                <m:t>IR</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t</m:t>
              </m:r>
            </m:sub>
          </m:sSub>
        </m:oMath>
      </m:oMathPara>
    </w:p>
    <w:p w14:paraId="474118E4" w14:textId="77777777" w:rsidR="006E4EB2" w:rsidRDefault="006E4EB2" w:rsidP="00C945A6">
      <w:pPr>
        <w:jc w:val="both"/>
        <w:rPr>
          <w:rFonts w:eastAsiaTheme="minorEastAsia"/>
        </w:rPr>
      </w:pPr>
    </w:p>
    <w:p w14:paraId="216CF206" w14:textId="77777777" w:rsidR="00FC0AC3" w:rsidRPr="00F34A91" w:rsidRDefault="00FC0AC3" w:rsidP="00965AEE">
      <w:pPr>
        <w:jc w:val="both"/>
        <w:rPr>
          <w:rFonts w:eastAsiaTheme="minorEastAsia"/>
        </w:rPr>
      </w:pPr>
      <w:r w:rsidRPr="00F34A91">
        <w:rPr>
          <w:rFonts w:eastAsiaTheme="minorEastAsia"/>
        </w:rPr>
        <w:t xml:space="preserve">Explanation: </w:t>
      </w:r>
    </w:p>
    <w:p w14:paraId="13D40FA8" w14:textId="19F2FCEB" w:rsidR="00C945A6" w:rsidRPr="00F34A91" w:rsidRDefault="00C945A6" w:rsidP="00C945A6">
      <w:pPr>
        <w:jc w:val="both"/>
        <w:rPr>
          <w:rFonts w:eastAsiaTheme="minorEastAsia"/>
        </w:rPr>
      </w:pPr>
      <w:r w:rsidRPr="00F34A91">
        <w:rPr>
          <w:rFonts w:eastAsiaTheme="minorEastAsia"/>
        </w:rPr>
        <w:t>MS</w:t>
      </w:r>
      <w:r w:rsidR="00B944F5">
        <w:rPr>
          <w:rFonts w:eastAsiaTheme="minorEastAsia"/>
        </w:rPr>
        <w:tab/>
      </w:r>
      <w:r w:rsidRPr="00F34A91">
        <w:rPr>
          <w:rFonts w:eastAsiaTheme="minorEastAsia"/>
        </w:rPr>
        <w:t>: Money Supply</w:t>
      </w:r>
    </w:p>
    <w:p w14:paraId="496961AB" w14:textId="19DD8370" w:rsidR="00C945A6" w:rsidRPr="00F34A91" w:rsidRDefault="00C945A6" w:rsidP="00C945A6">
      <w:pPr>
        <w:jc w:val="both"/>
        <w:rPr>
          <w:rFonts w:eastAsiaTheme="minorEastAsia"/>
        </w:rPr>
      </w:pPr>
      <w:r w:rsidRPr="00F34A91">
        <w:rPr>
          <w:rFonts w:eastAsiaTheme="minorEastAsia"/>
        </w:rPr>
        <w:t>ER</w:t>
      </w:r>
      <w:r w:rsidR="00B944F5">
        <w:rPr>
          <w:rFonts w:eastAsiaTheme="minorEastAsia"/>
        </w:rPr>
        <w:tab/>
      </w:r>
      <w:r w:rsidRPr="00F34A91">
        <w:rPr>
          <w:rFonts w:eastAsiaTheme="minorEastAsia"/>
        </w:rPr>
        <w:t>: Exchange rate</w:t>
      </w:r>
    </w:p>
    <w:p w14:paraId="6AD4BB74" w14:textId="62081EC6" w:rsidR="00C945A6" w:rsidRPr="00F34A91" w:rsidRDefault="00C945A6" w:rsidP="00C945A6">
      <w:pPr>
        <w:jc w:val="both"/>
        <w:rPr>
          <w:rFonts w:eastAsiaTheme="minorEastAsia"/>
        </w:rPr>
      </w:pPr>
      <w:r w:rsidRPr="00F34A91">
        <w:rPr>
          <w:rFonts w:eastAsiaTheme="minorEastAsia"/>
        </w:rPr>
        <w:t>FDI</w:t>
      </w:r>
      <w:r w:rsidR="00B944F5">
        <w:rPr>
          <w:rFonts w:eastAsiaTheme="minorEastAsia"/>
        </w:rPr>
        <w:tab/>
      </w:r>
      <w:r w:rsidRPr="00F34A91">
        <w:rPr>
          <w:rFonts w:eastAsiaTheme="minorEastAsia"/>
        </w:rPr>
        <w:t xml:space="preserve">: Foreign Direct Invesment </w:t>
      </w:r>
    </w:p>
    <w:p w14:paraId="7E284547" w14:textId="68D970A5" w:rsidR="00C945A6" w:rsidRPr="00F34A91" w:rsidRDefault="00C945A6" w:rsidP="00C945A6">
      <w:pPr>
        <w:jc w:val="both"/>
        <w:rPr>
          <w:rFonts w:eastAsiaTheme="minorEastAsia"/>
        </w:rPr>
      </w:pPr>
      <w:r w:rsidRPr="00F34A91">
        <w:rPr>
          <w:rFonts w:eastAsiaTheme="minorEastAsia"/>
        </w:rPr>
        <w:t>GDP</w:t>
      </w:r>
      <w:r w:rsidR="00B944F5">
        <w:rPr>
          <w:rFonts w:eastAsiaTheme="minorEastAsia"/>
        </w:rPr>
        <w:tab/>
      </w:r>
      <w:r w:rsidRPr="00F34A91">
        <w:rPr>
          <w:rFonts w:eastAsiaTheme="minorEastAsia"/>
        </w:rPr>
        <w:t>: Gro</w:t>
      </w:r>
      <w:r w:rsidR="00B944F5">
        <w:rPr>
          <w:rFonts w:eastAsiaTheme="minorEastAsia"/>
        </w:rPr>
        <w:t>s</w:t>
      </w:r>
      <w:r w:rsidRPr="00F34A91">
        <w:rPr>
          <w:rFonts w:eastAsiaTheme="minorEastAsia"/>
        </w:rPr>
        <w:t xml:space="preserve">s </w:t>
      </w:r>
      <w:r w:rsidR="00CE7F2C">
        <w:rPr>
          <w:rFonts w:eastAsiaTheme="minorEastAsia"/>
        </w:rPr>
        <w:t>D</w:t>
      </w:r>
      <w:r w:rsidRPr="00F34A91">
        <w:rPr>
          <w:rFonts w:eastAsiaTheme="minorEastAsia"/>
        </w:rPr>
        <w:t xml:space="preserve">omestic Product </w:t>
      </w:r>
    </w:p>
    <w:p w14:paraId="69F6A39C" w14:textId="2749B7E8" w:rsidR="00C945A6" w:rsidRPr="00F34A91" w:rsidRDefault="00C945A6" w:rsidP="00C945A6">
      <w:pPr>
        <w:jc w:val="both"/>
        <w:rPr>
          <w:rFonts w:eastAsiaTheme="minorEastAsia"/>
        </w:rPr>
      </w:pPr>
      <w:r w:rsidRPr="00F34A91">
        <w:rPr>
          <w:rFonts w:eastAsiaTheme="minorEastAsia"/>
        </w:rPr>
        <w:t>GE</w:t>
      </w:r>
      <w:r w:rsidR="00B944F5">
        <w:rPr>
          <w:rFonts w:eastAsiaTheme="minorEastAsia"/>
        </w:rPr>
        <w:tab/>
      </w:r>
      <w:r w:rsidRPr="00F34A91">
        <w:rPr>
          <w:rFonts w:eastAsiaTheme="minorEastAsia"/>
        </w:rPr>
        <w:t>: Government Expenditure</w:t>
      </w:r>
    </w:p>
    <w:p w14:paraId="35EF8A63" w14:textId="5220FAD9" w:rsidR="00C945A6" w:rsidRPr="00F34A91" w:rsidRDefault="00C945A6" w:rsidP="00C945A6">
      <w:pPr>
        <w:jc w:val="both"/>
        <w:rPr>
          <w:rFonts w:eastAsiaTheme="minorEastAsia"/>
        </w:rPr>
      </w:pPr>
      <w:r w:rsidRPr="00F34A91">
        <w:rPr>
          <w:rFonts w:eastAsiaTheme="minorEastAsia"/>
        </w:rPr>
        <w:t>INF</w:t>
      </w:r>
      <w:r w:rsidR="00B944F5">
        <w:rPr>
          <w:rFonts w:eastAsiaTheme="minorEastAsia"/>
        </w:rPr>
        <w:tab/>
      </w:r>
      <w:r w:rsidRPr="00F34A91">
        <w:rPr>
          <w:rFonts w:eastAsiaTheme="minorEastAsia"/>
        </w:rPr>
        <w:t>: Inflation</w:t>
      </w:r>
    </w:p>
    <w:p w14:paraId="419CD553" w14:textId="5644402E" w:rsidR="00C945A6" w:rsidRPr="00F34A91" w:rsidRDefault="00C945A6" w:rsidP="00C945A6">
      <w:pPr>
        <w:jc w:val="both"/>
        <w:rPr>
          <w:rFonts w:eastAsiaTheme="minorEastAsia"/>
        </w:rPr>
      </w:pPr>
      <w:r w:rsidRPr="00F34A91">
        <w:rPr>
          <w:rFonts w:eastAsiaTheme="minorEastAsia"/>
        </w:rPr>
        <w:t>IR</w:t>
      </w:r>
      <w:r w:rsidR="00B944F5">
        <w:rPr>
          <w:rFonts w:eastAsiaTheme="minorEastAsia"/>
        </w:rPr>
        <w:tab/>
      </w:r>
      <w:r w:rsidRPr="00F34A91">
        <w:rPr>
          <w:rFonts w:eastAsiaTheme="minorEastAsia"/>
        </w:rPr>
        <w:t xml:space="preserve">: Interest rate </w:t>
      </w:r>
    </w:p>
    <w:p w14:paraId="38B0B76E" w14:textId="3630F566" w:rsidR="00C945A6" w:rsidRPr="00F34A91" w:rsidRDefault="00B944F5" w:rsidP="00C945A6">
      <w:pPr>
        <w:jc w:val="both"/>
        <w:rPr>
          <w:rFonts w:eastAsiaTheme="minorEastAsia"/>
        </w:rPr>
      </w:pPr>
      <w:r>
        <w:rPr>
          <w:rFonts w:eastAsiaTheme="minorEastAsia"/>
        </w:rPr>
        <w:t>e</w:t>
      </w:r>
      <w:r>
        <w:rPr>
          <w:rFonts w:eastAsiaTheme="minorEastAsia"/>
        </w:rPr>
        <w:tab/>
      </w:r>
      <w:r w:rsidR="00C945A6" w:rsidRPr="00F34A91">
        <w:rPr>
          <w:rFonts w:eastAsiaTheme="minorEastAsia"/>
        </w:rPr>
        <w:t xml:space="preserve">: </w:t>
      </w:r>
      <w:r w:rsidR="00FC0AC3" w:rsidRPr="00F34A91">
        <w:rPr>
          <w:rFonts w:eastAsiaTheme="minorEastAsia"/>
        </w:rPr>
        <w:t>Disturbance/residual variable</w:t>
      </w:r>
    </w:p>
    <w:p w14:paraId="6E79CE7A" w14:textId="30F137FA" w:rsidR="00C945A6" w:rsidRPr="00F34A91" w:rsidRDefault="00B944F5" w:rsidP="00C945A6">
      <w:pPr>
        <w:jc w:val="both"/>
        <w:rPr>
          <w:rFonts w:eastAsiaTheme="minorEastAsia"/>
        </w:rPr>
      </w:pPr>
      <w:r>
        <w:rPr>
          <w:rFonts w:eastAsiaTheme="minorEastAsia"/>
        </w:rPr>
        <w:t>t</w:t>
      </w:r>
      <w:r>
        <w:rPr>
          <w:rFonts w:eastAsiaTheme="minorEastAsia"/>
        </w:rPr>
        <w:tab/>
      </w:r>
      <w:r w:rsidR="00C945A6" w:rsidRPr="00F34A91">
        <w:rPr>
          <w:rFonts w:eastAsiaTheme="minorEastAsia"/>
        </w:rPr>
        <w:t xml:space="preserve">: </w:t>
      </w:r>
      <w:r w:rsidR="00FC0AC3" w:rsidRPr="00F34A91">
        <w:rPr>
          <w:rFonts w:eastAsiaTheme="minorEastAsia"/>
        </w:rPr>
        <w:t xml:space="preserve">Research Period (in years) </w:t>
      </w:r>
    </w:p>
    <w:p w14:paraId="3EAD7232" w14:textId="77777777" w:rsidR="006E4EB2" w:rsidRDefault="006E4EB2" w:rsidP="007030B1">
      <w:pPr>
        <w:ind w:firstLine="567"/>
        <w:jc w:val="both"/>
        <w:rPr>
          <w:rFonts w:eastAsiaTheme="minorEastAsia"/>
        </w:rPr>
      </w:pPr>
    </w:p>
    <w:p w14:paraId="51F2FE27" w14:textId="7461215F" w:rsidR="00C945A6" w:rsidRPr="00F34A91" w:rsidRDefault="00FC0AC3" w:rsidP="007030B1">
      <w:pPr>
        <w:ind w:firstLine="567"/>
        <w:jc w:val="both"/>
        <w:rPr>
          <w:rFonts w:eastAsiaTheme="minorEastAsia"/>
        </w:rPr>
      </w:pPr>
      <w:r w:rsidRPr="00F34A91">
        <w:rPr>
          <w:rFonts w:eastAsiaTheme="minorEastAsia"/>
        </w:rPr>
        <w:t>In order to overcome the problem of data dislocation, the researcher uses the ECM method</w:t>
      </w:r>
      <w:r w:rsidR="00CE7F2C">
        <w:rPr>
          <w:rFonts w:eastAsiaTheme="minorEastAsia"/>
        </w:rPr>
        <w:t>,</w:t>
      </w:r>
      <w:r w:rsidRPr="00F34A91">
        <w:rPr>
          <w:rFonts w:eastAsiaTheme="minorEastAsia"/>
        </w:rPr>
        <w:t xml:space="preserve"> which will reduce the long-term model to inaction. </w:t>
      </w:r>
      <w:proofErr w:type="gramStart"/>
      <w:r w:rsidRPr="00F34A91">
        <w:rPr>
          <w:rFonts w:eastAsiaTheme="minorEastAsia"/>
        </w:rPr>
        <w:t>So</w:t>
      </w:r>
      <w:proofErr w:type="gramEnd"/>
      <w:r w:rsidRPr="00F34A91">
        <w:rPr>
          <w:rFonts w:eastAsiaTheme="minorEastAsia"/>
        </w:rPr>
        <w:t xml:space="preserve"> the short-term ECM model produced is as follows: </w:t>
      </w:r>
    </w:p>
    <w:p w14:paraId="720D044B" w14:textId="77777777" w:rsidR="00C945A6" w:rsidRPr="00F34A91" w:rsidRDefault="004C472D" w:rsidP="00C945A6">
      <w:pPr>
        <w:jc w:val="both"/>
        <w:rPr>
          <w:rFonts w:eastAsiaTheme="minorEastAsia"/>
        </w:rPr>
      </w:pPr>
      <m:oMath>
        <m:sSub>
          <m:sSubPr>
            <m:ctrlPr>
              <w:rPr>
                <w:rFonts w:ascii="Cambria Math" w:eastAsiaTheme="minorEastAsia" w:hAnsi="Cambria Math"/>
                <w:i/>
              </w:rPr>
            </m:ctrlPr>
          </m:sSubPr>
          <m:e>
            <m:r>
              <w:rPr>
                <w:rFonts w:ascii="Cambria Math" w:eastAsiaTheme="minorEastAsia" w:hAnsi="Cambria Math"/>
              </w:rPr>
              <m:t>∆</m:t>
            </m:r>
            <m:r>
              <w:rPr>
                <w:rFonts w:ascii="Cambria Math" w:eastAsiaTheme="minorEastAsia" w:hAnsi="Cambria Math"/>
              </w:rPr>
              <m:t>MS</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0</m:t>
            </m:r>
          </m:sub>
        </m:sSub>
        <m:r>
          <w:rPr>
            <w:rFonts w:ascii="Cambria Math" w:eastAsiaTheme="minorEastAsia" w:hAnsi="Cambria Math"/>
          </w:rPr>
          <m:t>+</m:t>
        </m:r>
        <m:sSub>
          <m:sSubPr>
            <m:ctrlPr>
              <w:rPr>
                <w:rFonts w:ascii="Cambria Math" w:hAnsi="Cambria Math"/>
                <w:i/>
              </w:rPr>
            </m:ctrlPr>
          </m:sSubPr>
          <m:e>
            <m:r>
              <w:rPr>
                <w:rFonts w:ascii="Cambria Math" w:hAnsi="Cambria Math"/>
              </w:rPr>
              <m:t>b</m:t>
            </m:r>
          </m:e>
          <m:sub>
            <m:r>
              <w:rPr>
                <w:rFonts w:ascii="Cambria Math" w:hAnsi="Cambria Math"/>
              </w:rPr>
              <m:t>1</m:t>
            </m:r>
          </m:sub>
        </m:sSub>
        <m:sSub>
          <m:sSubPr>
            <m:ctrlPr>
              <w:rPr>
                <w:rFonts w:ascii="Cambria Math" w:hAnsi="Cambria Math"/>
                <w:i/>
              </w:rPr>
            </m:ctrlPr>
          </m:sSubPr>
          <m:e>
            <m:r>
              <w:rPr>
                <w:rFonts w:ascii="Cambria Math" w:hAnsi="Cambria Math"/>
              </w:rPr>
              <m:t>∆</m:t>
            </m:r>
            <m:r>
              <w:rPr>
                <w:rFonts w:ascii="Cambria Math" w:hAnsi="Cambria Math"/>
              </w:rPr>
              <m:t>ER</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2</m:t>
            </m:r>
          </m:sub>
        </m:sSub>
        <m:sSub>
          <m:sSubPr>
            <m:ctrlPr>
              <w:rPr>
                <w:rFonts w:ascii="Cambria Math" w:hAnsi="Cambria Math"/>
                <w:i/>
              </w:rPr>
            </m:ctrlPr>
          </m:sSubPr>
          <m:e>
            <m:r>
              <w:rPr>
                <w:rFonts w:ascii="Cambria Math" w:hAnsi="Cambria Math"/>
              </w:rPr>
              <m:t>∆</m:t>
            </m:r>
            <m:r>
              <w:rPr>
                <w:rFonts w:ascii="Cambria Math" w:hAnsi="Cambria Math"/>
              </w:rPr>
              <m:t>FDI</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GDP</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GE</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5</m:t>
            </m:r>
          </m:sub>
        </m:sSub>
        <m:r>
          <w:rPr>
            <w:rFonts w:ascii="Cambria Math" w:hAnsi="Cambria Math"/>
          </w:rPr>
          <m:t>∆</m:t>
        </m:r>
        <m:sSub>
          <m:sSubPr>
            <m:ctrlPr>
              <w:rPr>
                <w:rFonts w:ascii="Cambria Math" w:hAnsi="Cambria Math"/>
                <w:i/>
              </w:rPr>
            </m:ctrlPr>
          </m:sSubPr>
          <m:e>
            <m:r>
              <w:rPr>
                <w:rFonts w:ascii="Cambria Math" w:hAnsi="Cambria Math"/>
              </w:rPr>
              <m:t>INF</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6</m:t>
            </m:r>
          </m:sub>
        </m:sSub>
        <m:r>
          <w:rPr>
            <w:rFonts w:ascii="Cambria Math" w:hAnsi="Cambria Math"/>
          </w:rPr>
          <m:t>∆</m:t>
        </m:r>
        <m:sSub>
          <m:sSubPr>
            <m:ctrlPr>
              <w:rPr>
                <w:rFonts w:ascii="Cambria Math" w:hAnsi="Cambria Math"/>
                <w:i/>
              </w:rPr>
            </m:ctrlPr>
          </m:sSubPr>
          <m:e>
            <m:r>
              <w:rPr>
                <w:rFonts w:ascii="Cambria Math" w:hAnsi="Cambria Math"/>
              </w:rPr>
              <m:t>IR</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7</m:t>
            </m:r>
          </m:sub>
        </m:sSub>
        <m:sSub>
          <m:sSubPr>
            <m:ctrlPr>
              <w:rPr>
                <w:rFonts w:ascii="Cambria Math" w:hAnsi="Cambria Math"/>
                <w:i/>
              </w:rPr>
            </m:ctrlPr>
          </m:sSubPr>
          <m:e>
            <m:r>
              <w:rPr>
                <w:rFonts w:ascii="Cambria Math" w:hAnsi="Cambria Math"/>
              </w:rPr>
              <m:t>EC</m:t>
            </m:r>
          </m:e>
          <m:sub>
            <m:r>
              <w:rPr>
                <w:rFonts w:ascii="Cambria Math" w:hAnsi="Cambria Math"/>
              </w:rPr>
              <m:t>t</m:t>
            </m:r>
            <m:r>
              <w:rPr>
                <w:rFonts w:ascii="Cambria Math" w:hAnsi="Cambria Math"/>
              </w:rPr>
              <m:t>-1</m:t>
            </m:r>
          </m:sub>
        </m:sSub>
      </m:oMath>
      <w:r w:rsidR="00C945A6" w:rsidRPr="00F34A91">
        <w:rPr>
          <w:rFonts w:eastAsiaTheme="minorEastAsia"/>
        </w:rPr>
        <w:t xml:space="preserve"> </w:t>
      </w:r>
    </w:p>
    <w:p w14:paraId="507EE2DE" w14:textId="77777777" w:rsidR="00FC0AC3" w:rsidRPr="00F34A91" w:rsidRDefault="00FC0AC3" w:rsidP="00D8498A">
      <w:pPr>
        <w:jc w:val="both"/>
        <w:rPr>
          <w:rFonts w:eastAsiaTheme="minorEastAsia"/>
        </w:rPr>
      </w:pPr>
      <w:r w:rsidRPr="00F34A91">
        <w:rPr>
          <w:rFonts w:eastAsiaTheme="minorEastAsia"/>
        </w:rPr>
        <w:t xml:space="preserve">Derived from: </w:t>
      </w:r>
    </w:p>
    <w:p w14:paraId="2DB696AA" w14:textId="77777777" w:rsidR="00C945A6" w:rsidRPr="00F34A91" w:rsidRDefault="004C472D" w:rsidP="00C945A6">
      <w:pPr>
        <w:jc w:val="both"/>
        <w:rPr>
          <w:rFonts w:eastAsiaTheme="minorEastAsia"/>
        </w:rPr>
      </w:pPr>
      <m:oMath>
        <m:sSub>
          <m:sSubPr>
            <m:ctrlPr>
              <w:rPr>
                <w:rFonts w:ascii="Cambria Math" w:hAnsi="Cambria Math"/>
                <w:i/>
              </w:rPr>
            </m:ctrlPr>
          </m:sSubPr>
          <m:e>
            <m:r>
              <w:rPr>
                <w:rFonts w:ascii="Cambria Math" w:hAnsi="Cambria Math"/>
              </w:rPr>
              <m:t>EC</m:t>
            </m:r>
          </m:e>
          <m:sub>
            <m:r>
              <w:rPr>
                <w:rFonts w:ascii="Cambria Math" w:hAnsi="Cambria Math"/>
              </w:rPr>
              <m:t>t</m:t>
            </m:r>
          </m:sub>
        </m:sSub>
        <m:r>
          <w:rPr>
            <w:rFonts w:ascii="Cambria Math" w:hAnsi="Cambria Math"/>
          </w:rPr>
          <m:t xml:space="preserve">= </m:t>
        </m:r>
        <m:sSub>
          <m:sSubPr>
            <m:ctrlPr>
              <w:rPr>
                <w:rFonts w:ascii="Cambria Math" w:hAnsi="Cambria Math"/>
                <w:i/>
              </w:rPr>
            </m:ctrlPr>
          </m:sSubPr>
          <m:e>
            <m:r>
              <w:rPr>
                <w:rFonts w:ascii="Cambria Math" w:hAnsi="Cambria Math"/>
              </w:rPr>
              <m:t>(</m:t>
            </m:r>
            <m:r>
              <w:rPr>
                <w:rFonts w:ascii="Cambria Math" w:hAnsi="Cambria Math"/>
              </w:rPr>
              <m:t>MS</m:t>
            </m:r>
          </m:e>
          <m:sub>
            <m:r>
              <w:rPr>
                <w:rFonts w:ascii="Cambria Math" w:hAnsi="Cambria Math"/>
              </w:rPr>
              <m:t>t</m:t>
            </m:r>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ER</m:t>
            </m:r>
          </m:e>
          <m:sub>
            <m:r>
              <w:rPr>
                <w:rFonts w:ascii="Cambria Math" w:hAnsi="Cambria Math"/>
              </w:rPr>
              <m:t>t</m:t>
            </m:r>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FDI</m:t>
            </m:r>
          </m:e>
          <m:sub>
            <m:r>
              <w:rPr>
                <w:rFonts w:ascii="Cambria Math" w:hAnsi="Cambria Math"/>
              </w:rPr>
              <m:t>t</m:t>
            </m:r>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sSub>
          <m:sSubPr>
            <m:ctrlPr>
              <w:rPr>
                <w:rFonts w:ascii="Cambria Math" w:hAnsi="Cambria Math"/>
                <w:i/>
              </w:rPr>
            </m:ctrlPr>
          </m:sSubPr>
          <m:e>
            <m:r>
              <w:rPr>
                <w:rFonts w:ascii="Cambria Math" w:hAnsi="Cambria Math"/>
              </w:rPr>
              <m:t>GDP</m:t>
            </m:r>
          </m:e>
          <m:sub>
            <m:r>
              <w:rPr>
                <w:rFonts w:ascii="Cambria Math" w:hAnsi="Cambria Math"/>
              </w:rPr>
              <m:t>t</m:t>
            </m:r>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4</m:t>
            </m:r>
          </m:sub>
        </m:sSub>
        <m:sSub>
          <m:sSubPr>
            <m:ctrlPr>
              <w:rPr>
                <w:rFonts w:ascii="Cambria Math" w:hAnsi="Cambria Math"/>
                <w:i/>
              </w:rPr>
            </m:ctrlPr>
          </m:sSubPr>
          <m:e>
            <m:r>
              <w:rPr>
                <w:rFonts w:ascii="Cambria Math" w:hAnsi="Cambria Math"/>
              </w:rPr>
              <m:t>GE</m:t>
            </m:r>
          </m:e>
          <m:sub>
            <m:r>
              <w:rPr>
                <w:rFonts w:ascii="Cambria Math" w:hAnsi="Cambria Math"/>
              </w:rPr>
              <m:t>t</m:t>
            </m:r>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5</m:t>
            </m:r>
          </m:sub>
        </m:sSub>
        <m:sSub>
          <m:sSubPr>
            <m:ctrlPr>
              <w:rPr>
                <w:rFonts w:ascii="Cambria Math" w:hAnsi="Cambria Math"/>
                <w:i/>
              </w:rPr>
            </m:ctrlPr>
          </m:sSubPr>
          <m:e>
            <m:r>
              <w:rPr>
                <w:rFonts w:ascii="Cambria Math" w:hAnsi="Cambria Math"/>
              </w:rPr>
              <m:t>INF</m:t>
            </m:r>
          </m:e>
          <m:sub>
            <m:r>
              <w:rPr>
                <w:rFonts w:ascii="Cambria Math" w:hAnsi="Cambria Math"/>
              </w:rPr>
              <m:t>t</m:t>
            </m:r>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6</m:t>
            </m:r>
          </m:sub>
        </m:sSub>
        <m:sSub>
          <m:sSubPr>
            <m:ctrlPr>
              <w:rPr>
                <w:rFonts w:ascii="Cambria Math" w:hAnsi="Cambria Math"/>
                <w:i/>
              </w:rPr>
            </m:ctrlPr>
          </m:sSubPr>
          <m:e>
            <m:r>
              <w:rPr>
                <w:rFonts w:ascii="Cambria Math" w:hAnsi="Cambria Math"/>
              </w:rPr>
              <m:t>IR</m:t>
            </m:r>
          </m:e>
          <m:sub>
            <m:r>
              <w:rPr>
                <w:rFonts w:ascii="Cambria Math" w:hAnsi="Cambria Math"/>
              </w:rPr>
              <m:t>t</m:t>
            </m:r>
            <m:r>
              <w:rPr>
                <w:rFonts w:ascii="Cambria Math" w:hAnsi="Cambria Math"/>
              </w:rPr>
              <m:t>-1</m:t>
            </m:r>
          </m:sub>
        </m:sSub>
        <m:r>
          <w:rPr>
            <w:rFonts w:ascii="Cambria Math" w:hAnsi="Cambria Math"/>
          </w:rPr>
          <m:t>)</m:t>
        </m:r>
      </m:oMath>
      <w:r w:rsidR="00C945A6" w:rsidRPr="00F34A91">
        <w:rPr>
          <w:rFonts w:eastAsiaTheme="minorEastAsia"/>
        </w:rPr>
        <w:t xml:space="preserve"> </w:t>
      </w:r>
    </w:p>
    <w:p w14:paraId="5A1A7A93" w14:textId="77777777" w:rsidR="007030B1" w:rsidRDefault="007030B1" w:rsidP="00C945A6">
      <w:pPr>
        <w:jc w:val="both"/>
        <w:rPr>
          <w:rFonts w:eastAsiaTheme="minorEastAsia"/>
          <w:b/>
          <w:bCs/>
        </w:rPr>
      </w:pPr>
    </w:p>
    <w:p w14:paraId="4DC77B72" w14:textId="77777777" w:rsidR="00FC0AC3" w:rsidRPr="00F34A91" w:rsidRDefault="00FC0AC3" w:rsidP="00B505E0">
      <w:pPr>
        <w:jc w:val="both"/>
        <w:rPr>
          <w:rFonts w:eastAsiaTheme="minorEastAsia"/>
          <w:b/>
          <w:bCs/>
        </w:rPr>
      </w:pPr>
      <w:r w:rsidRPr="00F34A91">
        <w:rPr>
          <w:rFonts w:eastAsiaTheme="minorEastAsia"/>
          <w:b/>
          <w:bCs/>
        </w:rPr>
        <w:t xml:space="preserve">Stationary Test and Cointegration Test </w:t>
      </w:r>
    </w:p>
    <w:p w14:paraId="78D7AB36" w14:textId="2ED5EBA9" w:rsidR="00FC0AC3" w:rsidRPr="00F34A91" w:rsidRDefault="00FC0AC3" w:rsidP="00B505E0">
      <w:pPr>
        <w:ind w:firstLine="567"/>
        <w:jc w:val="both"/>
        <w:rPr>
          <w:rFonts w:eastAsiaTheme="minorEastAsia"/>
        </w:rPr>
      </w:pPr>
      <w:r w:rsidRPr="00F34A91">
        <w:rPr>
          <w:rFonts w:eastAsiaTheme="minorEastAsia"/>
        </w:rPr>
        <w:t xml:space="preserve">The data </w:t>
      </w:r>
      <w:proofErr w:type="spellStart"/>
      <w:r w:rsidRPr="00F34A91">
        <w:rPr>
          <w:rFonts w:eastAsiaTheme="minorEastAsia"/>
        </w:rPr>
        <w:t>stastioner</w:t>
      </w:r>
      <w:proofErr w:type="spellEnd"/>
      <w:r w:rsidRPr="00F34A91">
        <w:rPr>
          <w:rFonts w:eastAsiaTheme="minorEastAsia"/>
        </w:rPr>
        <w:t xml:space="preserve"> test in this study uses the </w:t>
      </w:r>
      <w:r w:rsidRPr="00F34A91">
        <w:rPr>
          <w:rFonts w:eastAsiaTheme="minorEastAsia"/>
          <w:i/>
          <w:iCs/>
        </w:rPr>
        <w:t xml:space="preserve">Augmented Dickey-Fuller </w:t>
      </w:r>
      <w:r w:rsidRPr="00F34A91">
        <w:rPr>
          <w:rFonts w:eastAsiaTheme="minorEastAsia"/>
        </w:rPr>
        <w:t xml:space="preserve">(ADF) approach. The description carried out in this study pays attention to the statistical value of </w:t>
      </w:r>
      <w:r w:rsidRPr="00F34A91">
        <w:rPr>
          <w:rFonts w:eastAsiaTheme="minorEastAsia"/>
        </w:rPr>
        <w:lastRenderedPageBreak/>
        <w:t xml:space="preserve">ADF </w:t>
      </w:r>
      <w:r w:rsidR="00CE7F2C">
        <w:rPr>
          <w:rFonts w:eastAsiaTheme="minorEastAsia"/>
        </w:rPr>
        <w:t>and</w:t>
      </w:r>
      <w:r w:rsidRPr="00F34A91">
        <w:rPr>
          <w:rFonts w:eastAsiaTheme="minorEastAsia"/>
        </w:rPr>
        <w:t xml:space="preserve"> </w:t>
      </w:r>
      <w:r w:rsidRPr="00EE064D">
        <w:rPr>
          <w:rFonts w:eastAsiaTheme="minorEastAsia"/>
          <w:i/>
          <w:iCs/>
        </w:rPr>
        <w:t>the statistical</w:t>
      </w:r>
      <w:r w:rsidRPr="00F34A91">
        <w:rPr>
          <w:rFonts w:eastAsiaTheme="minorEastAsia"/>
        </w:rPr>
        <w:t xml:space="preserve"> value of</w:t>
      </w:r>
      <w:r w:rsidR="00CE7F2C">
        <w:rPr>
          <w:rFonts w:eastAsiaTheme="minorEastAsia"/>
        </w:rPr>
        <w:t xml:space="preserve"> </w:t>
      </w:r>
      <w:r w:rsidRPr="00F34A91">
        <w:rPr>
          <w:rFonts w:eastAsiaTheme="minorEastAsia"/>
        </w:rPr>
        <w:t>T</w:t>
      </w:r>
      <w:r w:rsidR="00CE7F2C">
        <w:rPr>
          <w:rFonts w:eastAsiaTheme="minorEastAsia"/>
        </w:rPr>
        <w:t>,</w:t>
      </w:r>
      <w:r w:rsidRPr="00F34A91">
        <w:rPr>
          <w:rFonts w:eastAsiaTheme="minorEastAsia"/>
        </w:rPr>
        <w:t xml:space="preserve"> or the critical value obtained in the test. In this study, the researcher used the Johansen method. </w:t>
      </w:r>
    </w:p>
    <w:p w14:paraId="24F2A450" w14:textId="77777777" w:rsidR="00FC0AC3" w:rsidRDefault="00FC0AC3" w:rsidP="00670E7C">
      <w:pPr>
        <w:jc w:val="both"/>
        <w:rPr>
          <w:rFonts w:eastAsiaTheme="minorEastAsia"/>
          <w:b/>
          <w:bCs/>
        </w:rPr>
      </w:pPr>
    </w:p>
    <w:p w14:paraId="0B9653E7" w14:textId="77777777" w:rsidR="00FC0AC3" w:rsidRPr="00F34A91" w:rsidRDefault="00FC0AC3" w:rsidP="00CE7F2C">
      <w:pPr>
        <w:tabs>
          <w:tab w:val="left" w:pos="3402"/>
        </w:tabs>
        <w:jc w:val="both"/>
        <w:rPr>
          <w:rFonts w:eastAsiaTheme="minorEastAsia"/>
          <w:b/>
          <w:bCs/>
        </w:rPr>
      </w:pPr>
      <w:r w:rsidRPr="00F34A91">
        <w:rPr>
          <w:rFonts w:eastAsiaTheme="minorEastAsia"/>
          <w:b/>
          <w:bCs/>
        </w:rPr>
        <w:t xml:space="preserve">Classical Assumption Test </w:t>
      </w:r>
    </w:p>
    <w:p w14:paraId="337BF8B7" w14:textId="211D794C" w:rsidR="00C945A6" w:rsidRPr="00F34A91" w:rsidRDefault="00FC0AC3" w:rsidP="00CE7F2C">
      <w:pPr>
        <w:tabs>
          <w:tab w:val="left" w:pos="3402"/>
        </w:tabs>
        <w:ind w:firstLine="567"/>
        <w:jc w:val="both"/>
        <w:rPr>
          <w:rFonts w:eastAsiaTheme="minorEastAsia"/>
        </w:rPr>
      </w:pPr>
      <w:r>
        <w:rPr>
          <w:rFonts w:eastAsiaTheme="minorEastAsia"/>
        </w:rPr>
        <w:t xml:space="preserve">In this study, four types of classical assumption tests are applied in the testing process, including the residual normality test, which is used to determine whether the regression equation and the </w:t>
      </w:r>
      <w:proofErr w:type="spellStart"/>
      <w:r>
        <w:rPr>
          <w:rFonts w:eastAsiaTheme="minorEastAsia"/>
        </w:rPr>
        <w:t>perturbrating</w:t>
      </w:r>
      <w:proofErr w:type="spellEnd"/>
      <w:r>
        <w:rPr>
          <w:rFonts w:eastAsiaTheme="minorEastAsia"/>
        </w:rPr>
        <w:t xml:space="preserve"> variable are normally distributed. Multicollinearity tests are also used to evaluate how independent and dependent variables in the model correlate with each other. The heteroscedasticity test is used to determine whether the variation in each observation has the same value. Finally, autocorrelation tests are used to ascertain whether or not there is a correlation between residuals in the research model </w:t>
      </w:r>
      <w:r w:rsidR="00C945A6" w:rsidRPr="00F34A91">
        <w:rPr>
          <w:rFonts w:eastAsiaTheme="minorEastAsia"/>
        </w:rPr>
        <w:fldChar w:fldCharType="begin" w:fldLock="1"/>
      </w:r>
      <w:r w:rsidR="00004B81">
        <w:rPr>
          <w:rFonts w:eastAsiaTheme="minorEastAsia"/>
        </w:rPr>
        <w:instrText>ADDIN CSL_CITATION {"citationItems":[{"id":"ITEM-1","itemData":{"abstract":"As a developing country, foreign investment plays an important role in developing the economy in Indonesia. It can increase economic growth, create jobs, and open up pathways for the transfer of technology and knowledge from abroad. This study aims to examine the factors that can affect the realization of foreign investment in Indonesia. The variables that will be used in the analysis of this study consist of foreign investment realization, economic growth rate, natural resources, labor force and real exchange rate. This research will use the Error Correction Model method as a research analysis tool. According to the results of short-term analysis, natural resources can affect the realization of foreign investment into Indonesia positively and significantly. In addition, real exchange rate depreciation can also encourage an increase in realized foreign investment in Indonesia. According to the results of long- term analysis, economic growth rate, natural resources, labor force and real exchange rate are known to have a significant positive influence on the realization of foreign investment in Indonesia.","author":[{"dropping-particle":"","family":"Ramadhan","given":"Muhammad Arvenda","non-dropping-particle":"","parse-names":false,"suffix":""},{"dropping-particle":"","family":"Sitorus","given":"Nurbetty Herlina","non-dropping-particle":"","parse-names":false,"suffix":""}],"container-title":"Jurnal Ekonomi Pembangunan (JEP)","id":"ITEM-1","issue":"3","issued":{"date-parts":[["2023"]]},"page":"134-145","title":"ANALISIS DETERMINAN REALISASI PENANAMAN MODAL ASING DI Walaupun status ini dapat meningkatkan pandangan investor asing terhadap Indonesia , namun status ini juga berpotensi untuk menyebabkan pengurangan bantuan internasional yang mungkin dapat diterima ol","type":"article-journal","volume":"12"},"uris":["http://www.mendeley.com/documents/?uuid=7a0265bb-3625-4fc4-a6c0-a99eda9b172f","http://www.mendeley.com/documents/?uuid=57e26fd7-5e78-48eb-9318-5c8725b20992"]}],"mendeley":{"formattedCitation":"(Ramadhan &amp; Sitorus, 2023)","plainTextFormattedCitation":"(Ramadhan &amp; Sitorus, 2023)","previouslyFormattedCitation":"(Ramadhan &amp; Sitorus, 2023)"},"properties":{"noteIndex":0},"schema":"https://github.com/citation-style-language/schema/raw/master/csl-citation.json"}</w:instrText>
      </w:r>
      <w:r w:rsidR="00C945A6" w:rsidRPr="00F34A91">
        <w:rPr>
          <w:rFonts w:eastAsiaTheme="minorEastAsia"/>
        </w:rPr>
        <w:fldChar w:fldCharType="separate"/>
      </w:r>
      <w:r w:rsidR="00C945A6" w:rsidRPr="00F34A91">
        <w:rPr>
          <w:rFonts w:eastAsiaTheme="minorEastAsia"/>
          <w:noProof/>
        </w:rPr>
        <w:t>(Ramadhan &amp; Sitorus, 2023)</w:t>
      </w:r>
      <w:r w:rsidR="00C945A6" w:rsidRPr="00F34A91">
        <w:rPr>
          <w:rFonts w:eastAsiaTheme="minorEastAsia"/>
        </w:rPr>
        <w:fldChar w:fldCharType="end"/>
      </w:r>
      <w:r w:rsidR="00C945A6" w:rsidRPr="00F34A91">
        <w:rPr>
          <w:rFonts w:eastAsiaTheme="minorEastAsia"/>
        </w:rPr>
        <w:t xml:space="preserve">. </w:t>
      </w:r>
    </w:p>
    <w:p w14:paraId="36F6511A" w14:textId="77777777" w:rsidR="006F57C5" w:rsidRDefault="006F57C5" w:rsidP="00CE7F2C">
      <w:pPr>
        <w:tabs>
          <w:tab w:val="left" w:pos="3402"/>
        </w:tabs>
        <w:jc w:val="both"/>
        <w:rPr>
          <w:rFonts w:eastAsiaTheme="minorEastAsia"/>
          <w:b/>
          <w:bCs/>
        </w:rPr>
      </w:pPr>
    </w:p>
    <w:p w14:paraId="1FC1FC09" w14:textId="77777777" w:rsidR="00FC0AC3" w:rsidRPr="00F34A91" w:rsidRDefault="00FC0AC3" w:rsidP="00CE7F2C">
      <w:pPr>
        <w:tabs>
          <w:tab w:val="left" w:pos="3402"/>
        </w:tabs>
        <w:jc w:val="both"/>
        <w:rPr>
          <w:rFonts w:eastAsiaTheme="minorEastAsia"/>
          <w:b/>
          <w:bCs/>
        </w:rPr>
      </w:pPr>
      <w:r w:rsidRPr="00F34A91">
        <w:rPr>
          <w:rFonts w:eastAsiaTheme="minorEastAsia"/>
          <w:b/>
          <w:bCs/>
        </w:rPr>
        <w:t xml:space="preserve">Hypothesis and Model Significance Test </w:t>
      </w:r>
    </w:p>
    <w:p w14:paraId="6FEEB105" w14:textId="68022CC4" w:rsidR="00FC0AC3" w:rsidRDefault="00FC0AC3" w:rsidP="00CE7F2C">
      <w:pPr>
        <w:tabs>
          <w:tab w:val="left" w:pos="3402"/>
        </w:tabs>
        <w:ind w:firstLine="567"/>
        <w:jc w:val="both"/>
        <w:rPr>
          <w:rFonts w:eastAsiaTheme="minorEastAsia"/>
        </w:rPr>
      </w:pPr>
      <w:r w:rsidRPr="00F34A91">
        <w:rPr>
          <w:rFonts w:eastAsiaTheme="minorEastAsia"/>
        </w:rPr>
        <w:t xml:space="preserve">In this study, the hypothesis and research model will be tested using the t-statistical test, the F-statistical test, and the determination test (R2). The t-statistical test was carried out with the aim of testing the research hypothesis by looking at the magnitude of the influence of each independent variable on the dependent variable. Meanwhile, the F-statistical test was used to see the magnitude of the influence of all independent variables together on the dependent variables of the study. And for the determination coefficient (R2) test, it was carried out to see how well the estimation results of the research model were in explaining the changes in the dependent variables of the research. </w:t>
      </w:r>
    </w:p>
    <w:p w14:paraId="0BF65F6D" w14:textId="77777777" w:rsidR="006F57C5" w:rsidRPr="00C945A6" w:rsidRDefault="006F57C5" w:rsidP="006E4EB2">
      <w:pPr>
        <w:jc w:val="both"/>
        <w:rPr>
          <w:rFonts w:eastAsiaTheme="minorEastAsia"/>
        </w:rPr>
      </w:pPr>
    </w:p>
    <w:p w14:paraId="54C9ADE7" w14:textId="5003162A" w:rsidR="0066512A" w:rsidRDefault="00CE7F2C" w:rsidP="0066512A">
      <w:pPr>
        <w:autoSpaceDE w:val="0"/>
        <w:autoSpaceDN w:val="0"/>
        <w:adjustRightInd w:val="0"/>
        <w:ind w:right="-7"/>
        <w:jc w:val="both"/>
        <w:rPr>
          <w:b/>
          <w:bCs/>
          <w:color w:val="000000"/>
          <w:lang w:val="it-IT"/>
        </w:rPr>
      </w:pPr>
      <w:r>
        <w:rPr>
          <w:b/>
          <w:bCs/>
          <w:color w:val="000000"/>
        </w:rPr>
        <w:t>RESULTS AND DISCUSSION</w:t>
      </w:r>
    </w:p>
    <w:p w14:paraId="05B7AF45" w14:textId="77777777" w:rsidR="00FC0AC3" w:rsidRPr="00F34A91" w:rsidRDefault="00FC0AC3" w:rsidP="0045078E">
      <w:pPr>
        <w:jc w:val="both"/>
        <w:rPr>
          <w:rFonts w:eastAsiaTheme="minorEastAsia"/>
          <w:b/>
          <w:bCs/>
        </w:rPr>
      </w:pPr>
      <w:r w:rsidRPr="00F34A91">
        <w:rPr>
          <w:rFonts w:eastAsiaTheme="minorEastAsia"/>
          <w:b/>
          <w:bCs/>
        </w:rPr>
        <w:t xml:space="preserve">Stationary Test </w:t>
      </w:r>
    </w:p>
    <w:p w14:paraId="72CB8CD5" w14:textId="3F910F0C" w:rsidR="00FC0AC3" w:rsidRDefault="00FC0AC3" w:rsidP="0045078E">
      <w:pPr>
        <w:ind w:firstLine="567"/>
        <w:jc w:val="both"/>
        <w:rPr>
          <w:rFonts w:eastAsiaTheme="minorEastAsia"/>
        </w:rPr>
      </w:pPr>
      <w:r w:rsidRPr="00F34A91">
        <w:rPr>
          <w:rFonts w:eastAsiaTheme="minorEastAsia"/>
        </w:rPr>
        <w:t xml:space="preserve">In this study, to detect the stationarity of the data, the </w:t>
      </w:r>
      <w:r w:rsidRPr="00F34A91">
        <w:rPr>
          <w:rFonts w:eastAsiaTheme="minorEastAsia"/>
          <w:i/>
          <w:iCs/>
        </w:rPr>
        <w:t xml:space="preserve">Augmented Dickey-Fuller </w:t>
      </w:r>
      <w:r w:rsidRPr="00F34A91">
        <w:rPr>
          <w:rFonts w:eastAsiaTheme="minorEastAsia"/>
        </w:rPr>
        <w:t xml:space="preserve">(ADF) approach was used at the level </w:t>
      </w:r>
      <w:proofErr w:type="spellStart"/>
      <w:r w:rsidRPr="00F34A91">
        <w:rPr>
          <w:rFonts w:eastAsiaTheme="minorEastAsia"/>
        </w:rPr>
        <w:t>level</w:t>
      </w:r>
      <w:proofErr w:type="spellEnd"/>
      <w:r w:rsidRPr="00F34A91">
        <w:rPr>
          <w:rFonts w:eastAsiaTheme="minorEastAsia"/>
        </w:rPr>
        <w:t xml:space="preserve"> and the </w:t>
      </w:r>
      <w:r>
        <w:rPr>
          <w:rFonts w:eastAsiaTheme="minorEastAsia"/>
        </w:rPr>
        <w:t>1</w:t>
      </w:r>
      <w:r>
        <w:rPr>
          <w:rFonts w:eastAsiaTheme="minorEastAsia"/>
          <w:vertAlign w:val="superscript"/>
        </w:rPr>
        <w:t>st</w:t>
      </w:r>
      <w:r w:rsidRPr="00F34A91">
        <w:rPr>
          <w:rFonts w:eastAsiaTheme="minorEastAsia"/>
        </w:rPr>
        <w:t xml:space="preserve"> </w:t>
      </w:r>
      <w:r w:rsidRPr="00EE064D">
        <w:rPr>
          <w:rFonts w:eastAsiaTheme="minorEastAsia"/>
          <w:i/>
          <w:iCs/>
        </w:rPr>
        <w:t>difference level</w:t>
      </w:r>
      <w:r w:rsidR="00CE7F2C">
        <w:rPr>
          <w:rFonts w:eastAsiaTheme="minorEastAsia"/>
        </w:rPr>
        <w:t>.</w:t>
      </w:r>
      <w:r w:rsidRPr="00F34A91">
        <w:rPr>
          <w:rFonts w:eastAsiaTheme="minorEastAsia"/>
        </w:rPr>
        <w:t xml:space="preserve"> The results of the stationary test are as follows: </w:t>
      </w:r>
    </w:p>
    <w:p w14:paraId="44CBC2DB" w14:textId="77777777" w:rsidR="006E4EB2" w:rsidRPr="00F34A91" w:rsidRDefault="006E4EB2" w:rsidP="007030B1">
      <w:pPr>
        <w:ind w:firstLine="567"/>
        <w:jc w:val="both"/>
        <w:rPr>
          <w:rFonts w:eastAsiaTheme="minorEastAsia"/>
        </w:rPr>
      </w:pPr>
    </w:p>
    <w:p w14:paraId="3DAD4ADA" w14:textId="7CDB676A" w:rsidR="00FC0AC3" w:rsidRPr="00F34A91" w:rsidRDefault="00FC0AC3" w:rsidP="00FC0AC3">
      <w:pPr>
        <w:jc w:val="center"/>
        <w:rPr>
          <w:rFonts w:eastAsiaTheme="minorEastAsia"/>
          <w:b/>
          <w:bCs/>
        </w:rPr>
      </w:pPr>
      <w:r w:rsidRPr="00F34A91">
        <w:rPr>
          <w:rFonts w:eastAsiaTheme="minorEastAsia"/>
          <w:b/>
          <w:bCs/>
        </w:rPr>
        <w:t>Table 2. Stationary Test</w:t>
      </w:r>
      <w:r w:rsidR="00C945A6" w:rsidRPr="00F34A91">
        <w:rPr>
          <w:rFonts w:eastAsiaTheme="minorEastAsia"/>
          <w:b/>
          <w:bCs/>
        </w:rPr>
        <w:t xml:space="preserve"> </w:t>
      </w:r>
    </w:p>
    <w:tbl>
      <w:tblPr>
        <w:tblW w:w="4562" w:type="dxa"/>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110"/>
        <w:gridCol w:w="1016"/>
        <w:gridCol w:w="1010"/>
        <w:gridCol w:w="1453"/>
      </w:tblGrid>
      <w:tr w:rsidR="00C945A6" w:rsidRPr="00F34A91" w14:paraId="701EC25B" w14:textId="77777777" w:rsidTr="0034260C">
        <w:trPr>
          <w:trHeight w:val="314"/>
          <w:jc w:val="center"/>
        </w:trPr>
        <w:tc>
          <w:tcPr>
            <w:tcW w:w="1089" w:type="dxa"/>
            <w:shd w:val="clear" w:color="auto" w:fill="auto"/>
            <w:noWrap/>
            <w:vAlign w:val="bottom"/>
            <w:hideMark/>
          </w:tcPr>
          <w:p w14:paraId="42B05BFF" w14:textId="7FD987E3" w:rsidR="00C945A6" w:rsidRPr="00F34A91" w:rsidRDefault="00C945A6" w:rsidP="0034260C">
            <w:pPr>
              <w:jc w:val="center"/>
              <w:rPr>
                <w:b/>
                <w:bCs/>
                <w:color w:val="000000"/>
                <w:lang w:eastAsia="en-ID"/>
              </w:rPr>
            </w:pPr>
            <w:r w:rsidRPr="00F34A91">
              <w:rPr>
                <w:b/>
                <w:bCs/>
                <w:color w:val="000000"/>
                <w:lang w:eastAsia="en-ID"/>
              </w:rPr>
              <w:t>Variab</w:t>
            </w:r>
            <w:r w:rsidR="00FC0AC3">
              <w:rPr>
                <w:b/>
                <w:bCs/>
                <w:color w:val="000000"/>
                <w:lang w:eastAsia="en-ID"/>
              </w:rPr>
              <w:t>le</w:t>
            </w:r>
          </w:p>
        </w:tc>
        <w:tc>
          <w:tcPr>
            <w:tcW w:w="1010" w:type="dxa"/>
            <w:shd w:val="clear" w:color="auto" w:fill="auto"/>
            <w:noWrap/>
            <w:vAlign w:val="bottom"/>
            <w:hideMark/>
          </w:tcPr>
          <w:p w14:paraId="02C60E9F" w14:textId="53DF653F" w:rsidR="00C945A6" w:rsidRPr="00F34A91" w:rsidRDefault="00C945A6" w:rsidP="0034260C">
            <w:pPr>
              <w:jc w:val="center"/>
              <w:rPr>
                <w:b/>
                <w:bCs/>
                <w:color w:val="000000"/>
                <w:lang w:eastAsia="en-ID"/>
              </w:rPr>
            </w:pPr>
            <w:r w:rsidRPr="00F34A91">
              <w:rPr>
                <w:b/>
                <w:bCs/>
                <w:color w:val="000000"/>
                <w:lang w:eastAsia="en-ID"/>
              </w:rPr>
              <w:t>Met</w:t>
            </w:r>
            <w:r w:rsidR="00FC0AC3">
              <w:rPr>
                <w:b/>
                <w:bCs/>
                <w:color w:val="000000"/>
                <w:lang w:eastAsia="en-ID"/>
              </w:rPr>
              <w:t>hod</w:t>
            </w:r>
          </w:p>
        </w:tc>
        <w:tc>
          <w:tcPr>
            <w:tcW w:w="1010" w:type="dxa"/>
            <w:shd w:val="clear" w:color="auto" w:fill="auto"/>
            <w:noWrap/>
            <w:vAlign w:val="bottom"/>
            <w:hideMark/>
          </w:tcPr>
          <w:p w14:paraId="032B9A18" w14:textId="77777777" w:rsidR="00C945A6" w:rsidRPr="00F34A91" w:rsidRDefault="00C945A6" w:rsidP="0034260C">
            <w:pPr>
              <w:jc w:val="center"/>
              <w:rPr>
                <w:b/>
                <w:bCs/>
                <w:color w:val="000000"/>
                <w:lang w:eastAsia="en-ID"/>
              </w:rPr>
            </w:pPr>
            <w:r w:rsidRPr="00F34A91">
              <w:rPr>
                <w:b/>
                <w:bCs/>
                <w:color w:val="000000"/>
                <w:lang w:eastAsia="en-ID"/>
              </w:rPr>
              <w:t>Level</w:t>
            </w:r>
          </w:p>
        </w:tc>
        <w:tc>
          <w:tcPr>
            <w:tcW w:w="1453" w:type="dxa"/>
            <w:shd w:val="clear" w:color="auto" w:fill="auto"/>
            <w:noWrap/>
            <w:vAlign w:val="bottom"/>
            <w:hideMark/>
          </w:tcPr>
          <w:p w14:paraId="3AC34444" w14:textId="77777777" w:rsidR="00C945A6" w:rsidRPr="00F34A91" w:rsidRDefault="00C945A6" w:rsidP="0034260C">
            <w:pPr>
              <w:jc w:val="center"/>
              <w:rPr>
                <w:b/>
                <w:bCs/>
                <w:color w:val="000000"/>
                <w:lang w:eastAsia="en-ID"/>
              </w:rPr>
            </w:pPr>
            <w:r w:rsidRPr="00F34A91">
              <w:rPr>
                <w:b/>
                <w:bCs/>
                <w:color w:val="000000"/>
                <w:lang w:eastAsia="en-ID"/>
              </w:rPr>
              <w:t>1 st diff</w:t>
            </w:r>
          </w:p>
        </w:tc>
      </w:tr>
      <w:tr w:rsidR="00C945A6" w:rsidRPr="00F34A91" w14:paraId="1521878F" w14:textId="77777777" w:rsidTr="0034260C">
        <w:trPr>
          <w:trHeight w:val="314"/>
          <w:jc w:val="center"/>
        </w:trPr>
        <w:tc>
          <w:tcPr>
            <w:tcW w:w="1089" w:type="dxa"/>
            <w:shd w:val="clear" w:color="auto" w:fill="auto"/>
            <w:noWrap/>
            <w:vAlign w:val="bottom"/>
            <w:hideMark/>
          </w:tcPr>
          <w:p w14:paraId="67131790" w14:textId="77777777" w:rsidR="00C945A6" w:rsidRPr="00F34A91" w:rsidRDefault="00C945A6" w:rsidP="0034260C">
            <w:pPr>
              <w:jc w:val="center"/>
              <w:rPr>
                <w:color w:val="000000"/>
                <w:lang w:eastAsia="en-ID"/>
              </w:rPr>
            </w:pPr>
            <w:r w:rsidRPr="00F34A91">
              <w:rPr>
                <w:color w:val="000000"/>
                <w:lang w:eastAsia="en-ID"/>
              </w:rPr>
              <w:t>MS</w:t>
            </w:r>
          </w:p>
        </w:tc>
        <w:tc>
          <w:tcPr>
            <w:tcW w:w="1010" w:type="dxa"/>
            <w:shd w:val="clear" w:color="auto" w:fill="auto"/>
            <w:noWrap/>
            <w:vAlign w:val="bottom"/>
            <w:hideMark/>
          </w:tcPr>
          <w:p w14:paraId="627BEEEA" w14:textId="77777777" w:rsidR="00C945A6" w:rsidRPr="00F34A91" w:rsidRDefault="00C945A6" w:rsidP="0034260C">
            <w:pPr>
              <w:jc w:val="center"/>
              <w:rPr>
                <w:color w:val="000000"/>
                <w:lang w:eastAsia="en-ID"/>
              </w:rPr>
            </w:pPr>
            <w:r w:rsidRPr="00F34A91">
              <w:rPr>
                <w:color w:val="000000"/>
                <w:lang w:eastAsia="en-ID"/>
              </w:rPr>
              <w:t>ADF</w:t>
            </w:r>
          </w:p>
        </w:tc>
        <w:tc>
          <w:tcPr>
            <w:tcW w:w="1010" w:type="dxa"/>
            <w:shd w:val="clear" w:color="auto" w:fill="auto"/>
            <w:noWrap/>
            <w:vAlign w:val="bottom"/>
            <w:hideMark/>
          </w:tcPr>
          <w:p w14:paraId="47896DA9" w14:textId="77777777" w:rsidR="00C945A6" w:rsidRPr="00F34A91" w:rsidRDefault="00C945A6" w:rsidP="0034260C">
            <w:pPr>
              <w:jc w:val="center"/>
              <w:rPr>
                <w:color w:val="000000"/>
                <w:lang w:eastAsia="en-ID"/>
              </w:rPr>
            </w:pPr>
            <w:r w:rsidRPr="00F34A91">
              <w:rPr>
                <w:color w:val="000000"/>
                <w:lang w:eastAsia="en-ID"/>
              </w:rPr>
              <w:t>0.4995</w:t>
            </w:r>
          </w:p>
        </w:tc>
        <w:tc>
          <w:tcPr>
            <w:tcW w:w="1453" w:type="dxa"/>
            <w:shd w:val="clear" w:color="auto" w:fill="auto"/>
            <w:noWrap/>
            <w:vAlign w:val="bottom"/>
            <w:hideMark/>
          </w:tcPr>
          <w:p w14:paraId="7E40C063" w14:textId="77777777" w:rsidR="00C945A6" w:rsidRPr="00F34A91" w:rsidRDefault="00C945A6" w:rsidP="0034260C">
            <w:pPr>
              <w:jc w:val="center"/>
              <w:rPr>
                <w:color w:val="000000"/>
                <w:lang w:eastAsia="en-ID"/>
              </w:rPr>
            </w:pPr>
            <w:r w:rsidRPr="00F34A91">
              <w:rPr>
                <w:color w:val="000000"/>
                <w:lang w:eastAsia="en-ID"/>
              </w:rPr>
              <w:t>0.0009</w:t>
            </w:r>
          </w:p>
        </w:tc>
      </w:tr>
      <w:tr w:rsidR="00C945A6" w:rsidRPr="00F34A91" w14:paraId="6E10980E" w14:textId="77777777" w:rsidTr="0034260C">
        <w:trPr>
          <w:trHeight w:val="314"/>
          <w:jc w:val="center"/>
        </w:trPr>
        <w:tc>
          <w:tcPr>
            <w:tcW w:w="1089" w:type="dxa"/>
            <w:shd w:val="clear" w:color="auto" w:fill="auto"/>
            <w:noWrap/>
            <w:vAlign w:val="bottom"/>
            <w:hideMark/>
          </w:tcPr>
          <w:p w14:paraId="425A3A83" w14:textId="77777777" w:rsidR="00C945A6" w:rsidRPr="00F34A91" w:rsidRDefault="00C945A6" w:rsidP="0034260C">
            <w:pPr>
              <w:jc w:val="center"/>
              <w:rPr>
                <w:color w:val="000000"/>
                <w:lang w:eastAsia="en-ID"/>
              </w:rPr>
            </w:pPr>
            <w:r w:rsidRPr="00F34A91">
              <w:rPr>
                <w:color w:val="000000"/>
                <w:lang w:eastAsia="en-ID"/>
              </w:rPr>
              <w:t>ER</w:t>
            </w:r>
          </w:p>
        </w:tc>
        <w:tc>
          <w:tcPr>
            <w:tcW w:w="1010" w:type="dxa"/>
            <w:shd w:val="clear" w:color="auto" w:fill="auto"/>
            <w:noWrap/>
            <w:vAlign w:val="bottom"/>
            <w:hideMark/>
          </w:tcPr>
          <w:p w14:paraId="1A838AF5" w14:textId="77777777" w:rsidR="00C945A6" w:rsidRPr="00F34A91" w:rsidRDefault="00C945A6" w:rsidP="0034260C">
            <w:pPr>
              <w:jc w:val="center"/>
              <w:rPr>
                <w:color w:val="000000"/>
                <w:lang w:eastAsia="en-ID"/>
              </w:rPr>
            </w:pPr>
            <w:r w:rsidRPr="00F34A91">
              <w:rPr>
                <w:color w:val="000000"/>
                <w:lang w:eastAsia="en-ID"/>
              </w:rPr>
              <w:t>ADF</w:t>
            </w:r>
          </w:p>
        </w:tc>
        <w:tc>
          <w:tcPr>
            <w:tcW w:w="1010" w:type="dxa"/>
            <w:shd w:val="clear" w:color="auto" w:fill="auto"/>
            <w:noWrap/>
            <w:vAlign w:val="bottom"/>
            <w:hideMark/>
          </w:tcPr>
          <w:p w14:paraId="4376AAE7" w14:textId="77777777" w:rsidR="00C945A6" w:rsidRPr="00F34A91" w:rsidRDefault="00C945A6" w:rsidP="0034260C">
            <w:pPr>
              <w:jc w:val="center"/>
              <w:rPr>
                <w:color w:val="000000"/>
                <w:lang w:eastAsia="en-ID"/>
              </w:rPr>
            </w:pPr>
            <w:r w:rsidRPr="00F34A91">
              <w:rPr>
                <w:color w:val="000000"/>
                <w:lang w:eastAsia="en-ID"/>
              </w:rPr>
              <w:t>0.2527</w:t>
            </w:r>
          </w:p>
        </w:tc>
        <w:tc>
          <w:tcPr>
            <w:tcW w:w="1453" w:type="dxa"/>
            <w:shd w:val="clear" w:color="auto" w:fill="auto"/>
            <w:noWrap/>
            <w:vAlign w:val="bottom"/>
            <w:hideMark/>
          </w:tcPr>
          <w:p w14:paraId="3A8727DA" w14:textId="77777777" w:rsidR="00C945A6" w:rsidRPr="00F34A91" w:rsidRDefault="00C945A6" w:rsidP="0034260C">
            <w:pPr>
              <w:jc w:val="center"/>
              <w:rPr>
                <w:color w:val="000000"/>
                <w:lang w:eastAsia="en-ID"/>
              </w:rPr>
            </w:pPr>
            <w:r w:rsidRPr="00F34A91">
              <w:rPr>
                <w:color w:val="000000"/>
                <w:lang w:eastAsia="en-ID"/>
              </w:rPr>
              <w:t>0.0003</w:t>
            </w:r>
          </w:p>
        </w:tc>
      </w:tr>
      <w:tr w:rsidR="00C945A6" w:rsidRPr="00F34A91" w14:paraId="79F887AE" w14:textId="77777777" w:rsidTr="0034260C">
        <w:trPr>
          <w:trHeight w:val="314"/>
          <w:jc w:val="center"/>
        </w:trPr>
        <w:tc>
          <w:tcPr>
            <w:tcW w:w="1089" w:type="dxa"/>
            <w:shd w:val="clear" w:color="auto" w:fill="auto"/>
            <w:noWrap/>
            <w:vAlign w:val="bottom"/>
            <w:hideMark/>
          </w:tcPr>
          <w:p w14:paraId="0DA64454" w14:textId="77777777" w:rsidR="00C945A6" w:rsidRPr="00F34A91" w:rsidRDefault="00C945A6" w:rsidP="0034260C">
            <w:pPr>
              <w:jc w:val="center"/>
              <w:rPr>
                <w:color w:val="000000"/>
                <w:lang w:eastAsia="en-ID"/>
              </w:rPr>
            </w:pPr>
            <w:r w:rsidRPr="00F34A91">
              <w:rPr>
                <w:color w:val="000000"/>
                <w:lang w:eastAsia="en-ID"/>
              </w:rPr>
              <w:t>FDI</w:t>
            </w:r>
          </w:p>
        </w:tc>
        <w:tc>
          <w:tcPr>
            <w:tcW w:w="1010" w:type="dxa"/>
            <w:shd w:val="clear" w:color="auto" w:fill="auto"/>
            <w:noWrap/>
            <w:vAlign w:val="bottom"/>
            <w:hideMark/>
          </w:tcPr>
          <w:p w14:paraId="3E980C14" w14:textId="77777777" w:rsidR="00C945A6" w:rsidRPr="00F34A91" w:rsidRDefault="00C945A6" w:rsidP="0034260C">
            <w:pPr>
              <w:jc w:val="center"/>
              <w:rPr>
                <w:color w:val="000000"/>
                <w:lang w:eastAsia="en-ID"/>
              </w:rPr>
            </w:pPr>
            <w:r w:rsidRPr="00F34A91">
              <w:rPr>
                <w:color w:val="000000"/>
                <w:lang w:eastAsia="en-ID"/>
              </w:rPr>
              <w:t>ADF</w:t>
            </w:r>
          </w:p>
        </w:tc>
        <w:tc>
          <w:tcPr>
            <w:tcW w:w="1010" w:type="dxa"/>
            <w:shd w:val="clear" w:color="auto" w:fill="auto"/>
            <w:noWrap/>
            <w:vAlign w:val="bottom"/>
            <w:hideMark/>
          </w:tcPr>
          <w:p w14:paraId="6A1432A1" w14:textId="77777777" w:rsidR="00C945A6" w:rsidRPr="00F34A91" w:rsidRDefault="00C945A6" w:rsidP="0034260C">
            <w:pPr>
              <w:jc w:val="center"/>
              <w:rPr>
                <w:color w:val="000000"/>
                <w:lang w:eastAsia="en-ID"/>
              </w:rPr>
            </w:pPr>
            <w:r w:rsidRPr="00F34A91">
              <w:rPr>
                <w:color w:val="000000"/>
                <w:lang w:eastAsia="en-ID"/>
              </w:rPr>
              <w:t>0.0042</w:t>
            </w:r>
          </w:p>
        </w:tc>
        <w:tc>
          <w:tcPr>
            <w:tcW w:w="1453" w:type="dxa"/>
            <w:shd w:val="clear" w:color="auto" w:fill="auto"/>
            <w:noWrap/>
            <w:vAlign w:val="bottom"/>
            <w:hideMark/>
          </w:tcPr>
          <w:p w14:paraId="23E742C0" w14:textId="77777777" w:rsidR="00C945A6" w:rsidRPr="00F34A91" w:rsidRDefault="00C945A6" w:rsidP="0034260C">
            <w:pPr>
              <w:jc w:val="center"/>
              <w:rPr>
                <w:color w:val="000000"/>
                <w:lang w:eastAsia="en-ID"/>
              </w:rPr>
            </w:pPr>
            <w:r w:rsidRPr="00F34A91">
              <w:rPr>
                <w:color w:val="000000"/>
                <w:lang w:eastAsia="en-ID"/>
              </w:rPr>
              <w:t>0.0000</w:t>
            </w:r>
          </w:p>
        </w:tc>
      </w:tr>
      <w:tr w:rsidR="00C945A6" w:rsidRPr="00F34A91" w14:paraId="00C2E35D" w14:textId="77777777" w:rsidTr="0034260C">
        <w:trPr>
          <w:trHeight w:val="314"/>
          <w:jc w:val="center"/>
        </w:trPr>
        <w:tc>
          <w:tcPr>
            <w:tcW w:w="1089" w:type="dxa"/>
            <w:shd w:val="clear" w:color="auto" w:fill="auto"/>
            <w:noWrap/>
            <w:vAlign w:val="bottom"/>
            <w:hideMark/>
          </w:tcPr>
          <w:p w14:paraId="4E7A0670" w14:textId="77777777" w:rsidR="00C945A6" w:rsidRPr="00F34A91" w:rsidRDefault="00C945A6" w:rsidP="0034260C">
            <w:pPr>
              <w:jc w:val="center"/>
              <w:rPr>
                <w:color w:val="000000"/>
                <w:lang w:eastAsia="en-ID"/>
              </w:rPr>
            </w:pPr>
            <w:r w:rsidRPr="00F34A91">
              <w:rPr>
                <w:color w:val="000000"/>
                <w:lang w:eastAsia="en-ID"/>
              </w:rPr>
              <w:t>GDP</w:t>
            </w:r>
          </w:p>
        </w:tc>
        <w:tc>
          <w:tcPr>
            <w:tcW w:w="1010" w:type="dxa"/>
            <w:shd w:val="clear" w:color="auto" w:fill="auto"/>
            <w:noWrap/>
            <w:vAlign w:val="bottom"/>
            <w:hideMark/>
          </w:tcPr>
          <w:p w14:paraId="3A55C3A4" w14:textId="77777777" w:rsidR="00C945A6" w:rsidRPr="00F34A91" w:rsidRDefault="00C945A6" w:rsidP="0034260C">
            <w:pPr>
              <w:jc w:val="center"/>
              <w:rPr>
                <w:color w:val="000000"/>
                <w:lang w:eastAsia="en-ID"/>
              </w:rPr>
            </w:pPr>
            <w:r w:rsidRPr="00F34A91">
              <w:rPr>
                <w:color w:val="000000"/>
                <w:lang w:eastAsia="en-ID"/>
              </w:rPr>
              <w:t>ADF</w:t>
            </w:r>
          </w:p>
        </w:tc>
        <w:tc>
          <w:tcPr>
            <w:tcW w:w="1010" w:type="dxa"/>
            <w:shd w:val="clear" w:color="auto" w:fill="auto"/>
            <w:noWrap/>
            <w:vAlign w:val="bottom"/>
            <w:hideMark/>
          </w:tcPr>
          <w:p w14:paraId="073F32F6" w14:textId="77777777" w:rsidR="00C945A6" w:rsidRPr="00F34A91" w:rsidRDefault="00C945A6" w:rsidP="0034260C">
            <w:pPr>
              <w:jc w:val="center"/>
              <w:rPr>
                <w:color w:val="000000"/>
                <w:lang w:eastAsia="en-ID"/>
              </w:rPr>
            </w:pPr>
            <w:r w:rsidRPr="00F34A91">
              <w:rPr>
                <w:color w:val="000000"/>
                <w:lang w:eastAsia="en-ID"/>
              </w:rPr>
              <w:t>0.5108</w:t>
            </w:r>
          </w:p>
        </w:tc>
        <w:tc>
          <w:tcPr>
            <w:tcW w:w="1453" w:type="dxa"/>
            <w:shd w:val="clear" w:color="auto" w:fill="auto"/>
            <w:noWrap/>
            <w:vAlign w:val="bottom"/>
            <w:hideMark/>
          </w:tcPr>
          <w:p w14:paraId="1E92CCAE" w14:textId="77777777" w:rsidR="00C945A6" w:rsidRPr="00F34A91" w:rsidRDefault="00C945A6" w:rsidP="0034260C">
            <w:pPr>
              <w:jc w:val="center"/>
              <w:rPr>
                <w:color w:val="000000"/>
                <w:lang w:eastAsia="en-ID"/>
              </w:rPr>
            </w:pPr>
            <w:r w:rsidRPr="00F34A91">
              <w:rPr>
                <w:color w:val="000000"/>
                <w:lang w:eastAsia="en-ID"/>
              </w:rPr>
              <w:t>0.0011</w:t>
            </w:r>
          </w:p>
        </w:tc>
      </w:tr>
      <w:tr w:rsidR="00C945A6" w:rsidRPr="00F34A91" w14:paraId="678EB55F" w14:textId="77777777" w:rsidTr="0034260C">
        <w:trPr>
          <w:trHeight w:val="314"/>
          <w:jc w:val="center"/>
        </w:trPr>
        <w:tc>
          <w:tcPr>
            <w:tcW w:w="1089" w:type="dxa"/>
            <w:shd w:val="clear" w:color="auto" w:fill="auto"/>
            <w:noWrap/>
            <w:vAlign w:val="bottom"/>
            <w:hideMark/>
          </w:tcPr>
          <w:p w14:paraId="4F992A72" w14:textId="77777777" w:rsidR="00C945A6" w:rsidRPr="00F34A91" w:rsidRDefault="00C945A6" w:rsidP="0034260C">
            <w:pPr>
              <w:jc w:val="center"/>
              <w:rPr>
                <w:color w:val="000000"/>
                <w:lang w:eastAsia="en-ID"/>
              </w:rPr>
            </w:pPr>
            <w:r w:rsidRPr="00F34A91">
              <w:rPr>
                <w:color w:val="000000"/>
                <w:lang w:eastAsia="en-ID"/>
              </w:rPr>
              <w:t>GE</w:t>
            </w:r>
          </w:p>
        </w:tc>
        <w:tc>
          <w:tcPr>
            <w:tcW w:w="1010" w:type="dxa"/>
            <w:shd w:val="clear" w:color="auto" w:fill="auto"/>
            <w:noWrap/>
            <w:vAlign w:val="bottom"/>
            <w:hideMark/>
          </w:tcPr>
          <w:p w14:paraId="41FE3214" w14:textId="77777777" w:rsidR="00C945A6" w:rsidRPr="00F34A91" w:rsidRDefault="00C945A6" w:rsidP="0034260C">
            <w:pPr>
              <w:jc w:val="center"/>
              <w:rPr>
                <w:color w:val="000000"/>
                <w:lang w:eastAsia="en-ID"/>
              </w:rPr>
            </w:pPr>
            <w:r w:rsidRPr="00F34A91">
              <w:rPr>
                <w:color w:val="000000"/>
                <w:lang w:eastAsia="en-ID"/>
              </w:rPr>
              <w:t>ADF</w:t>
            </w:r>
          </w:p>
        </w:tc>
        <w:tc>
          <w:tcPr>
            <w:tcW w:w="1010" w:type="dxa"/>
            <w:shd w:val="clear" w:color="auto" w:fill="auto"/>
            <w:noWrap/>
            <w:vAlign w:val="bottom"/>
            <w:hideMark/>
          </w:tcPr>
          <w:p w14:paraId="4FD40653" w14:textId="77777777" w:rsidR="00C945A6" w:rsidRPr="00F34A91" w:rsidRDefault="00C945A6" w:rsidP="0034260C">
            <w:pPr>
              <w:jc w:val="center"/>
              <w:rPr>
                <w:color w:val="000000"/>
                <w:lang w:eastAsia="en-ID"/>
              </w:rPr>
            </w:pPr>
            <w:r w:rsidRPr="00F34A91">
              <w:rPr>
                <w:color w:val="000000"/>
                <w:lang w:eastAsia="en-ID"/>
              </w:rPr>
              <w:t>0.2204</w:t>
            </w:r>
          </w:p>
        </w:tc>
        <w:tc>
          <w:tcPr>
            <w:tcW w:w="1453" w:type="dxa"/>
            <w:shd w:val="clear" w:color="auto" w:fill="auto"/>
            <w:noWrap/>
            <w:vAlign w:val="bottom"/>
            <w:hideMark/>
          </w:tcPr>
          <w:p w14:paraId="14038EEC" w14:textId="77777777" w:rsidR="00C945A6" w:rsidRPr="00F34A91" w:rsidRDefault="00C945A6" w:rsidP="0034260C">
            <w:pPr>
              <w:jc w:val="center"/>
              <w:rPr>
                <w:color w:val="000000"/>
                <w:lang w:eastAsia="en-ID"/>
              </w:rPr>
            </w:pPr>
            <w:r w:rsidRPr="00F34A91">
              <w:rPr>
                <w:color w:val="000000"/>
                <w:lang w:eastAsia="en-ID"/>
              </w:rPr>
              <w:t>0.0002</w:t>
            </w:r>
          </w:p>
        </w:tc>
      </w:tr>
      <w:tr w:rsidR="00C945A6" w:rsidRPr="00F34A91" w14:paraId="4F6BCF50" w14:textId="77777777" w:rsidTr="0034260C">
        <w:trPr>
          <w:trHeight w:val="314"/>
          <w:jc w:val="center"/>
        </w:trPr>
        <w:tc>
          <w:tcPr>
            <w:tcW w:w="1089" w:type="dxa"/>
            <w:shd w:val="clear" w:color="auto" w:fill="auto"/>
            <w:noWrap/>
            <w:vAlign w:val="bottom"/>
            <w:hideMark/>
          </w:tcPr>
          <w:p w14:paraId="68D0DBD8" w14:textId="77777777" w:rsidR="00C945A6" w:rsidRPr="00F34A91" w:rsidRDefault="00C945A6" w:rsidP="0034260C">
            <w:pPr>
              <w:jc w:val="center"/>
              <w:rPr>
                <w:color w:val="000000"/>
                <w:lang w:eastAsia="en-ID"/>
              </w:rPr>
            </w:pPr>
            <w:r w:rsidRPr="00F34A91">
              <w:rPr>
                <w:color w:val="000000"/>
                <w:lang w:eastAsia="en-ID"/>
              </w:rPr>
              <w:t>INF</w:t>
            </w:r>
          </w:p>
        </w:tc>
        <w:tc>
          <w:tcPr>
            <w:tcW w:w="1010" w:type="dxa"/>
            <w:shd w:val="clear" w:color="auto" w:fill="auto"/>
            <w:noWrap/>
            <w:vAlign w:val="bottom"/>
            <w:hideMark/>
          </w:tcPr>
          <w:p w14:paraId="2F8EE19C" w14:textId="77777777" w:rsidR="00C945A6" w:rsidRPr="00F34A91" w:rsidRDefault="00C945A6" w:rsidP="0034260C">
            <w:pPr>
              <w:jc w:val="center"/>
              <w:rPr>
                <w:color w:val="000000"/>
                <w:lang w:eastAsia="en-ID"/>
              </w:rPr>
            </w:pPr>
            <w:r w:rsidRPr="00F34A91">
              <w:rPr>
                <w:color w:val="000000"/>
                <w:lang w:eastAsia="en-ID"/>
              </w:rPr>
              <w:t>ADF</w:t>
            </w:r>
          </w:p>
        </w:tc>
        <w:tc>
          <w:tcPr>
            <w:tcW w:w="1010" w:type="dxa"/>
            <w:shd w:val="clear" w:color="auto" w:fill="auto"/>
            <w:noWrap/>
            <w:vAlign w:val="bottom"/>
            <w:hideMark/>
          </w:tcPr>
          <w:p w14:paraId="1771E5FB" w14:textId="77777777" w:rsidR="00C945A6" w:rsidRPr="00F34A91" w:rsidRDefault="00C945A6" w:rsidP="0034260C">
            <w:pPr>
              <w:jc w:val="center"/>
              <w:rPr>
                <w:color w:val="000000"/>
                <w:lang w:eastAsia="en-ID"/>
              </w:rPr>
            </w:pPr>
            <w:r w:rsidRPr="00F34A91">
              <w:rPr>
                <w:color w:val="000000"/>
                <w:lang w:eastAsia="en-ID"/>
              </w:rPr>
              <w:t>0.0000</w:t>
            </w:r>
          </w:p>
        </w:tc>
        <w:tc>
          <w:tcPr>
            <w:tcW w:w="1453" w:type="dxa"/>
            <w:shd w:val="clear" w:color="auto" w:fill="auto"/>
            <w:noWrap/>
            <w:vAlign w:val="bottom"/>
            <w:hideMark/>
          </w:tcPr>
          <w:p w14:paraId="07908C87" w14:textId="77777777" w:rsidR="00C945A6" w:rsidRPr="00F34A91" w:rsidRDefault="00C945A6" w:rsidP="0034260C">
            <w:pPr>
              <w:jc w:val="center"/>
              <w:rPr>
                <w:color w:val="000000"/>
                <w:lang w:eastAsia="en-ID"/>
              </w:rPr>
            </w:pPr>
            <w:r w:rsidRPr="00F34A91">
              <w:rPr>
                <w:color w:val="000000"/>
                <w:lang w:eastAsia="en-ID"/>
              </w:rPr>
              <w:t>0.0000</w:t>
            </w:r>
          </w:p>
        </w:tc>
      </w:tr>
      <w:tr w:rsidR="00C945A6" w:rsidRPr="00F34A91" w14:paraId="001D420A" w14:textId="77777777" w:rsidTr="0034260C">
        <w:trPr>
          <w:trHeight w:val="314"/>
          <w:jc w:val="center"/>
        </w:trPr>
        <w:tc>
          <w:tcPr>
            <w:tcW w:w="1089" w:type="dxa"/>
            <w:shd w:val="clear" w:color="auto" w:fill="auto"/>
            <w:noWrap/>
            <w:vAlign w:val="bottom"/>
            <w:hideMark/>
          </w:tcPr>
          <w:p w14:paraId="75FD19B5" w14:textId="77777777" w:rsidR="00C945A6" w:rsidRPr="00F34A91" w:rsidRDefault="00C945A6" w:rsidP="0034260C">
            <w:pPr>
              <w:jc w:val="center"/>
              <w:rPr>
                <w:color w:val="000000"/>
                <w:lang w:eastAsia="en-ID"/>
              </w:rPr>
            </w:pPr>
            <w:r w:rsidRPr="00F34A91">
              <w:rPr>
                <w:color w:val="000000"/>
                <w:lang w:eastAsia="en-ID"/>
              </w:rPr>
              <w:t>IR</w:t>
            </w:r>
          </w:p>
        </w:tc>
        <w:tc>
          <w:tcPr>
            <w:tcW w:w="1010" w:type="dxa"/>
            <w:shd w:val="clear" w:color="auto" w:fill="auto"/>
            <w:noWrap/>
            <w:vAlign w:val="bottom"/>
            <w:hideMark/>
          </w:tcPr>
          <w:p w14:paraId="09D0394E" w14:textId="77777777" w:rsidR="00C945A6" w:rsidRPr="00F34A91" w:rsidRDefault="00C945A6" w:rsidP="0034260C">
            <w:pPr>
              <w:jc w:val="center"/>
              <w:rPr>
                <w:color w:val="000000"/>
                <w:lang w:eastAsia="en-ID"/>
              </w:rPr>
            </w:pPr>
            <w:r w:rsidRPr="00F34A91">
              <w:rPr>
                <w:color w:val="000000"/>
                <w:lang w:eastAsia="en-ID"/>
              </w:rPr>
              <w:t>ADF</w:t>
            </w:r>
          </w:p>
        </w:tc>
        <w:tc>
          <w:tcPr>
            <w:tcW w:w="1010" w:type="dxa"/>
            <w:shd w:val="clear" w:color="auto" w:fill="auto"/>
            <w:noWrap/>
            <w:vAlign w:val="bottom"/>
            <w:hideMark/>
          </w:tcPr>
          <w:p w14:paraId="14332541" w14:textId="77777777" w:rsidR="00C945A6" w:rsidRPr="00F34A91" w:rsidRDefault="00C945A6" w:rsidP="0034260C">
            <w:pPr>
              <w:jc w:val="center"/>
              <w:rPr>
                <w:color w:val="000000"/>
                <w:lang w:eastAsia="en-ID"/>
              </w:rPr>
            </w:pPr>
            <w:r w:rsidRPr="00F34A91">
              <w:rPr>
                <w:color w:val="000000"/>
                <w:lang w:eastAsia="en-ID"/>
              </w:rPr>
              <w:t>0.0111</w:t>
            </w:r>
          </w:p>
        </w:tc>
        <w:tc>
          <w:tcPr>
            <w:tcW w:w="1453" w:type="dxa"/>
            <w:shd w:val="clear" w:color="auto" w:fill="auto"/>
            <w:noWrap/>
            <w:vAlign w:val="bottom"/>
            <w:hideMark/>
          </w:tcPr>
          <w:p w14:paraId="0928DFC5" w14:textId="77777777" w:rsidR="00C945A6" w:rsidRPr="00F34A91" w:rsidRDefault="00C945A6" w:rsidP="0034260C">
            <w:pPr>
              <w:jc w:val="center"/>
              <w:rPr>
                <w:color w:val="000000"/>
                <w:lang w:eastAsia="en-ID"/>
              </w:rPr>
            </w:pPr>
            <w:r w:rsidRPr="00F34A91">
              <w:rPr>
                <w:color w:val="000000"/>
                <w:lang w:eastAsia="en-ID"/>
              </w:rPr>
              <w:t>0.0000</w:t>
            </w:r>
          </w:p>
        </w:tc>
      </w:tr>
    </w:tbl>
    <w:p w14:paraId="49DFB9F9" w14:textId="77777777" w:rsidR="00FC0AC3" w:rsidRPr="00F34A91" w:rsidRDefault="00C945A6" w:rsidP="00421659">
      <w:pPr>
        <w:rPr>
          <w:rFonts w:eastAsiaTheme="minorEastAsia"/>
        </w:rPr>
      </w:pPr>
      <w:r w:rsidRPr="00F34A91">
        <w:rPr>
          <w:rFonts w:eastAsiaTheme="minorEastAsia"/>
        </w:rPr>
        <w:tab/>
      </w:r>
      <w:r w:rsidRPr="00F34A91">
        <w:rPr>
          <w:rFonts w:eastAsiaTheme="minorEastAsia"/>
        </w:rPr>
        <w:tab/>
      </w:r>
      <w:r w:rsidRPr="00F34A91">
        <w:rPr>
          <w:rFonts w:eastAsiaTheme="minorEastAsia"/>
        </w:rPr>
        <w:tab/>
      </w:r>
      <w:r w:rsidR="00FC0AC3" w:rsidRPr="00F34A91">
        <w:rPr>
          <w:rFonts w:eastAsiaTheme="minorEastAsia"/>
        </w:rPr>
        <w:t>*</w:t>
      </w:r>
      <w:proofErr w:type="gramStart"/>
      <w:r w:rsidR="00FC0AC3" w:rsidRPr="00F34A91">
        <w:rPr>
          <w:rFonts w:eastAsiaTheme="minorEastAsia"/>
        </w:rPr>
        <w:t>significant</w:t>
      </w:r>
      <w:proofErr w:type="gramEnd"/>
      <w:r w:rsidR="00FC0AC3" w:rsidRPr="00F34A91">
        <w:rPr>
          <w:rFonts w:eastAsiaTheme="minorEastAsia"/>
        </w:rPr>
        <w:t xml:space="preserve"> at α= 0.05</w:t>
      </w:r>
    </w:p>
    <w:p w14:paraId="7B52E7C3" w14:textId="26EE533C" w:rsidR="00C945A6" w:rsidRPr="007030B1" w:rsidRDefault="00FC0AC3" w:rsidP="00C945A6">
      <w:pPr>
        <w:rPr>
          <w:rFonts w:eastAsiaTheme="minorEastAsia"/>
          <w:i/>
          <w:iCs/>
        </w:rPr>
      </w:pPr>
      <w:r w:rsidRPr="00F34A91">
        <w:rPr>
          <w:rFonts w:eastAsiaTheme="minorEastAsia"/>
        </w:rPr>
        <w:tab/>
      </w:r>
      <w:r w:rsidRPr="00F34A91">
        <w:rPr>
          <w:rFonts w:eastAsiaTheme="minorEastAsia"/>
        </w:rPr>
        <w:tab/>
      </w:r>
      <w:r w:rsidRPr="00F34A91">
        <w:rPr>
          <w:rFonts w:eastAsiaTheme="minorEastAsia"/>
        </w:rPr>
        <w:tab/>
      </w:r>
      <w:r w:rsidRPr="007030B1">
        <w:rPr>
          <w:rFonts w:eastAsiaTheme="minorEastAsia"/>
          <w:i/>
          <w:iCs/>
        </w:rPr>
        <w:t xml:space="preserve">Source: data processed using </w:t>
      </w:r>
      <w:proofErr w:type="spellStart"/>
      <w:r w:rsidRPr="007030B1">
        <w:rPr>
          <w:rFonts w:eastAsiaTheme="minorEastAsia"/>
          <w:i/>
          <w:iCs/>
        </w:rPr>
        <w:t>Eviews</w:t>
      </w:r>
      <w:proofErr w:type="spellEnd"/>
      <w:r w:rsidRPr="007030B1">
        <w:rPr>
          <w:rFonts w:eastAsiaTheme="minorEastAsia"/>
          <w:i/>
          <w:iCs/>
        </w:rPr>
        <w:t xml:space="preserve"> 12 </w:t>
      </w:r>
    </w:p>
    <w:p w14:paraId="70E1520B" w14:textId="77777777" w:rsidR="006E4EB2" w:rsidRDefault="006E4EB2" w:rsidP="007030B1">
      <w:pPr>
        <w:ind w:firstLine="567"/>
        <w:jc w:val="both"/>
        <w:rPr>
          <w:rFonts w:eastAsiaTheme="minorEastAsia"/>
        </w:rPr>
      </w:pPr>
    </w:p>
    <w:p w14:paraId="36921E80" w14:textId="1CCCA376" w:rsidR="00C945A6" w:rsidRPr="00F34A91" w:rsidRDefault="00FC0AC3" w:rsidP="007030B1">
      <w:pPr>
        <w:ind w:firstLine="567"/>
        <w:jc w:val="both"/>
        <w:rPr>
          <w:rFonts w:eastAsiaTheme="minorEastAsia"/>
        </w:rPr>
      </w:pPr>
      <w:r w:rsidRPr="00F34A91">
        <w:rPr>
          <w:rFonts w:eastAsiaTheme="minorEastAsia"/>
        </w:rPr>
        <w:t xml:space="preserve">Based on the results of the </w:t>
      </w:r>
      <w:r w:rsidRPr="00F34A91">
        <w:rPr>
          <w:rFonts w:eastAsiaTheme="minorEastAsia"/>
          <w:i/>
          <w:iCs/>
        </w:rPr>
        <w:t xml:space="preserve">Augmented Dickey-Fuller </w:t>
      </w:r>
      <w:r w:rsidRPr="00F34A91">
        <w:rPr>
          <w:rFonts w:eastAsiaTheme="minorEastAsia"/>
        </w:rPr>
        <w:t xml:space="preserve">(ADF) unit root test in table 2, based on the stationary belief, which is α = 0.05, it can be seen that the variables that are stationary at the level </w:t>
      </w:r>
      <w:proofErr w:type="spellStart"/>
      <w:r w:rsidRPr="00F34A91">
        <w:rPr>
          <w:rFonts w:eastAsiaTheme="minorEastAsia"/>
        </w:rPr>
        <w:t>level</w:t>
      </w:r>
      <w:proofErr w:type="spellEnd"/>
      <w:r w:rsidRPr="00F34A91">
        <w:rPr>
          <w:rFonts w:eastAsiaTheme="minorEastAsia"/>
        </w:rPr>
        <w:t xml:space="preserve"> are only the FDI, INF</w:t>
      </w:r>
      <w:r w:rsidR="00CE7F2C">
        <w:rPr>
          <w:rFonts w:eastAsiaTheme="minorEastAsia"/>
        </w:rPr>
        <w:t>,</w:t>
      </w:r>
      <w:r w:rsidRPr="00F34A91">
        <w:rPr>
          <w:rFonts w:eastAsiaTheme="minorEastAsia"/>
        </w:rPr>
        <w:t xml:space="preserve"> and IR variables, while the other variables are not stationary at the level </w:t>
      </w:r>
      <w:proofErr w:type="spellStart"/>
      <w:r w:rsidRPr="00F34A91">
        <w:rPr>
          <w:rFonts w:eastAsiaTheme="minorEastAsia"/>
        </w:rPr>
        <w:t>level</w:t>
      </w:r>
      <w:proofErr w:type="spellEnd"/>
      <w:r w:rsidRPr="00F34A91">
        <w:rPr>
          <w:rFonts w:eastAsiaTheme="minorEastAsia"/>
        </w:rPr>
        <w:t xml:space="preserve">. Therefore, a stationary test was carried out at </w:t>
      </w:r>
      <w:r w:rsidRPr="00F34A91">
        <w:rPr>
          <w:rFonts w:eastAsiaTheme="minorEastAsia"/>
        </w:rPr>
        <w:lastRenderedPageBreak/>
        <w:t>the 1</w:t>
      </w:r>
      <w:r w:rsidRPr="00FC0AC3">
        <w:rPr>
          <w:rFonts w:eastAsiaTheme="minorEastAsia"/>
          <w:vertAlign w:val="superscript"/>
        </w:rPr>
        <w:t>st</w:t>
      </w:r>
      <w:r w:rsidRPr="00F34A91">
        <w:rPr>
          <w:rFonts w:eastAsiaTheme="minorEastAsia"/>
        </w:rPr>
        <w:t xml:space="preserve"> </w:t>
      </w:r>
      <w:r w:rsidRPr="00EE064D">
        <w:rPr>
          <w:rFonts w:eastAsiaTheme="minorEastAsia"/>
          <w:i/>
          <w:iCs/>
        </w:rPr>
        <w:t>difference</w:t>
      </w:r>
      <w:r w:rsidRPr="00F34A91">
        <w:rPr>
          <w:rFonts w:eastAsiaTheme="minorEastAsia"/>
        </w:rPr>
        <w:t xml:space="preserve"> level and obtained the results of all stationary variables at the 1</w:t>
      </w:r>
      <w:r w:rsidRPr="00FC0AC3">
        <w:rPr>
          <w:rFonts w:eastAsiaTheme="minorEastAsia"/>
          <w:vertAlign w:val="superscript"/>
        </w:rPr>
        <w:t xml:space="preserve">st </w:t>
      </w:r>
      <w:r w:rsidRPr="00F34A91">
        <w:rPr>
          <w:rFonts w:eastAsiaTheme="minorEastAsia"/>
        </w:rPr>
        <w:t>difference level</w:t>
      </w:r>
      <w:r w:rsidRPr="00EE064D">
        <w:rPr>
          <w:rFonts w:eastAsiaTheme="minorEastAsia"/>
          <w:i/>
          <w:iCs/>
        </w:rPr>
        <w:t xml:space="preserve">. </w:t>
      </w:r>
    </w:p>
    <w:p w14:paraId="43266566" w14:textId="77777777" w:rsidR="00FC0AC3" w:rsidRDefault="00FC0AC3" w:rsidP="00BD1A70">
      <w:pPr>
        <w:jc w:val="both"/>
        <w:rPr>
          <w:rFonts w:eastAsiaTheme="minorEastAsia"/>
          <w:b/>
          <w:bCs/>
        </w:rPr>
      </w:pPr>
    </w:p>
    <w:p w14:paraId="330CD026" w14:textId="77777777" w:rsidR="00FC0AC3" w:rsidRPr="00F34A91" w:rsidRDefault="00FC0AC3" w:rsidP="00BD1A70">
      <w:pPr>
        <w:jc w:val="both"/>
        <w:rPr>
          <w:rFonts w:eastAsiaTheme="minorEastAsia"/>
          <w:b/>
          <w:bCs/>
        </w:rPr>
      </w:pPr>
      <w:r w:rsidRPr="00F34A91">
        <w:rPr>
          <w:rFonts w:eastAsiaTheme="minorEastAsia"/>
          <w:b/>
          <w:bCs/>
        </w:rPr>
        <w:t xml:space="preserve">Cointegration Test </w:t>
      </w:r>
    </w:p>
    <w:p w14:paraId="0D9A1055" w14:textId="6B2D4EE5" w:rsidR="00FC0AC3" w:rsidRDefault="00FC0AC3" w:rsidP="00BD1A70">
      <w:pPr>
        <w:ind w:firstLine="567"/>
        <w:jc w:val="both"/>
        <w:rPr>
          <w:rFonts w:eastAsiaTheme="minorEastAsia"/>
        </w:rPr>
      </w:pPr>
      <w:r w:rsidRPr="00F34A91">
        <w:rPr>
          <w:rFonts w:eastAsiaTheme="minorEastAsia"/>
        </w:rPr>
        <w:t>The cointegration test was carried out using the Johansen method</w:t>
      </w:r>
      <w:r w:rsidR="00CE7F2C">
        <w:rPr>
          <w:rFonts w:eastAsiaTheme="minorEastAsia"/>
        </w:rPr>
        <w:t>,</w:t>
      </w:r>
      <w:r w:rsidRPr="00F34A91">
        <w:rPr>
          <w:rFonts w:eastAsiaTheme="minorEastAsia"/>
        </w:rPr>
        <w:t xml:space="preserve"> which consisted of two trade </w:t>
      </w:r>
      <w:r w:rsidRPr="00F34A91">
        <w:rPr>
          <w:rFonts w:eastAsiaTheme="minorEastAsia"/>
          <w:i/>
          <w:iCs/>
        </w:rPr>
        <w:t xml:space="preserve">statistical </w:t>
      </w:r>
      <w:r w:rsidRPr="00F34A91">
        <w:rPr>
          <w:rFonts w:eastAsiaTheme="minorEastAsia"/>
        </w:rPr>
        <w:t>values and</w:t>
      </w:r>
      <w:r w:rsidRPr="00F34A91">
        <w:rPr>
          <w:rFonts w:eastAsiaTheme="minorEastAsia"/>
          <w:i/>
          <w:iCs/>
        </w:rPr>
        <w:t xml:space="preserve"> a max-eigen statistic </w:t>
      </w:r>
      <w:r w:rsidR="00CE7F2C">
        <w:rPr>
          <w:rFonts w:eastAsiaTheme="minorEastAsia"/>
        </w:rPr>
        <w:t>that</w:t>
      </w:r>
      <w:r w:rsidRPr="00F34A91">
        <w:rPr>
          <w:rFonts w:eastAsiaTheme="minorEastAsia"/>
        </w:rPr>
        <w:t xml:space="preserve"> had a statistical value greater than its critical value with the provision of α = 0.05. This test was carried out to determine whether there was a balance in the same movement and a stable relationship between variables in the long term. Based on the test, several variables with a probability of &lt; of 0.05 can be concluded </w:t>
      </w:r>
      <w:r w:rsidR="00CE7F2C">
        <w:rPr>
          <w:rFonts w:eastAsiaTheme="minorEastAsia"/>
        </w:rPr>
        <w:t>to</w:t>
      </w:r>
      <w:r w:rsidRPr="00F34A91">
        <w:rPr>
          <w:rFonts w:eastAsiaTheme="minorEastAsia"/>
        </w:rPr>
        <w:t xml:space="preserve"> </w:t>
      </w:r>
      <w:r w:rsidR="00CE7F2C">
        <w:rPr>
          <w:rFonts w:eastAsiaTheme="minorEastAsia"/>
        </w:rPr>
        <w:t>have</w:t>
      </w:r>
      <w:r w:rsidRPr="00F34A91">
        <w:rPr>
          <w:rFonts w:eastAsiaTheme="minorEastAsia"/>
        </w:rPr>
        <w:t xml:space="preserve"> a cointegration between </w:t>
      </w:r>
      <w:r w:rsidR="00CE7F2C">
        <w:rPr>
          <w:rFonts w:eastAsiaTheme="minorEastAsia"/>
        </w:rPr>
        <w:t>them</w:t>
      </w:r>
      <w:r w:rsidRPr="00F34A91">
        <w:rPr>
          <w:rFonts w:eastAsiaTheme="minorEastAsia"/>
        </w:rPr>
        <w:t>.</w:t>
      </w:r>
    </w:p>
    <w:p w14:paraId="3268C4B4" w14:textId="77777777" w:rsidR="006E4EB2" w:rsidRDefault="006E4EB2" w:rsidP="006E4EB2">
      <w:pPr>
        <w:ind w:firstLine="567"/>
        <w:jc w:val="both"/>
        <w:rPr>
          <w:rFonts w:eastAsiaTheme="minorEastAsia"/>
        </w:rPr>
      </w:pPr>
    </w:p>
    <w:p w14:paraId="4678C2B3" w14:textId="43492248" w:rsidR="00C945A6" w:rsidRDefault="00FC0AC3" w:rsidP="00C945A6">
      <w:pPr>
        <w:jc w:val="center"/>
        <w:rPr>
          <w:rFonts w:eastAsiaTheme="minorEastAsia"/>
          <w:b/>
          <w:bCs/>
        </w:rPr>
      </w:pPr>
      <w:r>
        <w:rPr>
          <w:rFonts w:eastAsiaTheme="minorEastAsia"/>
          <w:b/>
          <w:bCs/>
        </w:rPr>
        <w:t>Table 3. ADF Test</w:t>
      </w:r>
      <w:r w:rsidR="00C945A6">
        <w:rPr>
          <w:rFonts w:eastAsiaTheme="minorEastAsia"/>
          <w:b/>
          <w:bCs/>
        </w:rPr>
        <w:t xml:space="preserve"> </w:t>
      </w:r>
    </w:p>
    <w:tbl>
      <w:tblPr>
        <w:tblW w:w="6700" w:type="dxa"/>
        <w:jc w:val="center"/>
        <w:tblLook w:val="04A0" w:firstRow="1" w:lastRow="0" w:firstColumn="1" w:lastColumn="0" w:noHBand="0" w:noVBand="1"/>
      </w:tblPr>
      <w:tblGrid>
        <w:gridCol w:w="2263"/>
        <w:gridCol w:w="1897"/>
        <w:gridCol w:w="1220"/>
        <w:gridCol w:w="1372"/>
      </w:tblGrid>
      <w:tr w:rsidR="00C945A6" w:rsidRPr="00A71977" w14:paraId="7E194B26" w14:textId="77777777" w:rsidTr="0034260C">
        <w:trPr>
          <w:trHeight w:val="290"/>
          <w:jc w:val="center"/>
        </w:trPr>
        <w:tc>
          <w:tcPr>
            <w:tcW w:w="4160" w:type="dxa"/>
            <w:gridSpan w:val="2"/>
            <w:tcBorders>
              <w:top w:val="single" w:sz="4" w:space="0" w:color="auto"/>
              <w:left w:val="nil"/>
              <w:bottom w:val="single" w:sz="4" w:space="0" w:color="auto"/>
              <w:right w:val="nil"/>
            </w:tcBorders>
            <w:shd w:val="clear" w:color="auto" w:fill="auto"/>
            <w:noWrap/>
            <w:vAlign w:val="bottom"/>
            <w:hideMark/>
          </w:tcPr>
          <w:p w14:paraId="21D23794" w14:textId="77777777" w:rsidR="00C945A6" w:rsidRPr="00A71977" w:rsidRDefault="00C945A6" w:rsidP="0034260C">
            <w:pPr>
              <w:jc w:val="center"/>
              <w:rPr>
                <w:rFonts w:ascii="Calibri" w:hAnsi="Calibri" w:cs="Calibri"/>
                <w:color w:val="000000"/>
                <w:lang w:eastAsia="en-ID"/>
              </w:rPr>
            </w:pPr>
            <w:r w:rsidRPr="00A71977">
              <w:rPr>
                <w:rFonts w:ascii="Calibri" w:hAnsi="Calibri" w:cs="Calibri"/>
                <w:color w:val="000000"/>
                <w:lang w:eastAsia="en-ID"/>
              </w:rPr>
              <w:t> </w:t>
            </w:r>
          </w:p>
        </w:tc>
        <w:tc>
          <w:tcPr>
            <w:tcW w:w="1220" w:type="dxa"/>
            <w:tcBorders>
              <w:top w:val="single" w:sz="4" w:space="0" w:color="auto"/>
              <w:left w:val="nil"/>
              <w:bottom w:val="single" w:sz="4" w:space="0" w:color="auto"/>
              <w:right w:val="nil"/>
            </w:tcBorders>
            <w:shd w:val="clear" w:color="auto" w:fill="auto"/>
            <w:noWrap/>
            <w:vAlign w:val="bottom"/>
            <w:hideMark/>
          </w:tcPr>
          <w:p w14:paraId="18AAE77C" w14:textId="77777777" w:rsidR="00C945A6" w:rsidRPr="00A71977" w:rsidRDefault="00C945A6" w:rsidP="0034260C">
            <w:pPr>
              <w:rPr>
                <w:rFonts w:ascii="Calibri" w:hAnsi="Calibri" w:cs="Calibri"/>
                <w:color w:val="000000"/>
                <w:lang w:eastAsia="en-ID"/>
              </w:rPr>
            </w:pPr>
            <w:r w:rsidRPr="00A71977">
              <w:rPr>
                <w:rFonts w:ascii="Calibri" w:hAnsi="Calibri" w:cs="Calibri"/>
                <w:color w:val="000000"/>
                <w:lang w:eastAsia="en-ID"/>
              </w:rPr>
              <w:t xml:space="preserve">t-Statistic </w:t>
            </w:r>
          </w:p>
        </w:tc>
        <w:tc>
          <w:tcPr>
            <w:tcW w:w="1320" w:type="dxa"/>
            <w:tcBorders>
              <w:top w:val="single" w:sz="4" w:space="0" w:color="auto"/>
              <w:left w:val="nil"/>
              <w:bottom w:val="single" w:sz="4" w:space="0" w:color="auto"/>
              <w:right w:val="nil"/>
            </w:tcBorders>
            <w:shd w:val="clear" w:color="auto" w:fill="auto"/>
            <w:noWrap/>
            <w:vAlign w:val="bottom"/>
            <w:hideMark/>
          </w:tcPr>
          <w:p w14:paraId="6F7F34CB" w14:textId="77777777" w:rsidR="00C945A6" w:rsidRPr="00A71977" w:rsidRDefault="00C945A6" w:rsidP="0034260C">
            <w:pPr>
              <w:rPr>
                <w:rFonts w:ascii="Calibri" w:hAnsi="Calibri" w:cs="Calibri"/>
                <w:color w:val="000000"/>
                <w:lang w:eastAsia="en-ID"/>
              </w:rPr>
            </w:pPr>
            <w:r w:rsidRPr="00A71977">
              <w:rPr>
                <w:rFonts w:ascii="Calibri" w:hAnsi="Calibri" w:cs="Calibri"/>
                <w:color w:val="000000"/>
                <w:lang w:eastAsia="en-ID"/>
              </w:rPr>
              <w:t xml:space="preserve">Probabilitas </w:t>
            </w:r>
          </w:p>
        </w:tc>
      </w:tr>
      <w:tr w:rsidR="00C945A6" w:rsidRPr="00A71977" w14:paraId="4B663B90" w14:textId="77777777" w:rsidTr="0034260C">
        <w:trPr>
          <w:trHeight w:val="290"/>
          <w:jc w:val="center"/>
        </w:trPr>
        <w:tc>
          <w:tcPr>
            <w:tcW w:w="4160" w:type="dxa"/>
            <w:gridSpan w:val="2"/>
            <w:tcBorders>
              <w:top w:val="single" w:sz="4" w:space="0" w:color="auto"/>
              <w:left w:val="nil"/>
              <w:bottom w:val="single" w:sz="4" w:space="0" w:color="auto"/>
              <w:right w:val="nil"/>
            </w:tcBorders>
            <w:shd w:val="clear" w:color="auto" w:fill="auto"/>
            <w:noWrap/>
            <w:vAlign w:val="bottom"/>
            <w:hideMark/>
          </w:tcPr>
          <w:p w14:paraId="2B64F74D" w14:textId="77777777" w:rsidR="00C945A6" w:rsidRPr="00A71977" w:rsidRDefault="00C945A6" w:rsidP="0034260C">
            <w:pPr>
              <w:rPr>
                <w:rFonts w:ascii="Calibri" w:hAnsi="Calibri" w:cs="Calibri"/>
                <w:color w:val="000000"/>
                <w:lang w:eastAsia="en-ID"/>
              </w:rPr>
            </w:pPr>
            <w:r w:rsidRPr="00A71977">
              <w:rPr>
                <w:rFonts w:ascii="Calibri" w:hAnsi="Calibri" w:cs="Calibri"/>
                <w:color w:val="000000"/>
                <w:lang w:eastAsia="en-ID"/>
              </w:rPr>
              <w:t>Augmented Dickey-Fuller test statistic</w:t>
            </w:r>
          </w:p>
        </w:tc>
        <w:tc>
          <w:tcPr>
            <w:tcW w:w="1220" w:type="dxa"/>
            <w:tcBorders>
              <w:top w:val="nil"/>
              <w:left w:val="nil"/>
              <w:bottom w:val="single" w:sz="4" w:space="0" w:color="auto"/>
              <w:right w:val="nil"/>
            </w:tcBorders>
            <w:shd w:val="clear" w:color="auto" w:fill="auto"/>
            <w:noWrap/>
            <w:vAlign w:val="bottom"/>
            <w:hideMark/>
          </w:tcPr>
          <w:p w14:paraId="5B70209C" w14:textId="77777777" w:rsidR="00C945A6" w:rsidRPr="00A71977" w:rsidRDefault="00C945A6" w:rsidP="0034260C">
            <w:pPr>
              <w:jc w:val="right"/>
              <w:rPr>
                <w:rFonts w:ascii="Calibri" w:hAnsi="Calibri" w:cs="Calibri"/>
                <w:color w:val="000000"/>
                <w:lang w:eastAsia="en-ID"/>
              </w:rPr>
            </w:pPr>
            <w:r w:rsidRPr="00A71977">
              <w:rPr>
                <w:rFonts w:ascii="Calibri" w:hAnsi="Calibri" w:cs="Calibri"/>
                <w:color w:val="000000"/>
                <w:lang w:eastAsia="en-ID"/>
              </w:rPr>
              <w:t>-5</w:t>
            </w:r>
            <w:r>
              <w:rPr>
                <w:rFonts w:ascii="Calibri" w:hAnsi="Calibri" w:cs="Calibri"/>
                <w:color w:val="000000"/>
                <w:lang w:eastAsia="en-ID"/>
              </w:rPr>
              <w:t>.</w:t>
            </w:r>
            <w:r w:rsidRPr="00A71977">
              <w:rPr>
                <w:rFonts w:ascii="Calibri" w:hAnsi="Calibri" w:cs="Calibri"/>
                <w:color w:val="000000"/>
                <w:lang w:eastAsia="en-ID"/>
              </w:rPr>
              <w:t>428099</w:t>
            </w:r>
          </w:p>
        </w:tc>
        <w:tc>
          <w:tcPr>
            <w:tcW w:w="1320" w:type="dxa"/>
            <w:tcBorders>
              <w:top w:val="nil"/>
              <w:left w:val="nil"/>
              <w:bottom w:val="single" w:sz="4" w:space="0" w:color="auto"/>
              <w:right w:val="nil"/>
            </w:tcBorders>
            <w:shd w:val="clear" w:color="auto" w:fill="auto"/>
            <w:noWrap/>
            <w:vAlign w:val="bottom"/>
            <w:hideMark/>
          </w:tcPr>
          <w:p w14:paraId="779FE021" w14:textId="77777777" w:rsidR="00C945A6" w:rsidRPr="00A71977" w:rsidRDefault="00C945A6" w:rsidP="0034260C">
            <w:pPr>
              <w:jc w:val="right"/>
              <w:rPr>
                <w:rFonts w:ascii="Calibri" w:hAnsi="Calibri" w:cs="Calibri"/>
                <w:color w:val="000000"/>
                <w:lang w:eastAsia="en-ID"/>
              </w:rPr>
            </w:pPr>
            <w:r w:rsidRPr="00A71977">
              <w:rPr>
                <w:rFonts w:ascii="Calibri" w:hAnsi="Calibri" w:cs="Calibri"/>
                <w:color w:val="000000"/>
                <w:lang w:eastAsia="en-ID"/>
              </w:rPr>
              <w:t>0</w:t>
            </w:r>
            <w:r>
              <w:rPr>
                <w:rFonts w:ascii="Calibri" w:hAnsi="Calibri" w:cs="Calibri"/>
                <w:color w:val="000000"/>
                <w:lang w:eastAsia="en-ID"/>
              </w:rPr>
              <w:t>.</w:t>
            </w:r>
            <w:r w:rsidRPr="00A71977">
              <w:rPr>
                <w:rFonts w:ascii="Calibri" w:hAnsi="Calibri" w:cs="Calibri"/>
                <w:color w:val="000000"/>
                <w:lang w:eastAsia="en-ID"/>
              </w:rPr>
              <w:t>0001</w:t>
            </w:r>
          </w:p>
        </w:tc>
      </w:tr>
      <w:tr w:rsidR="00C945A6" w:rsidRPr="00A71977" w14:paraId="3BBDF1FE" w14:textId="77777777" w:rsidTr="0034260C">
        <w:trPr>
          <w:trHeight w:val="290"/>
          <w:jc w:val="center"/>
        </w:trPr>
        <w:tc>
          <w:tcPr>
            <w:tcW w:w="2263" w:type="dxa"/>
            <w:vMerge w:val="restart"/>
            <w:tcBorders>
              <w:top w:val="nil"/>
              <w:left w:val="nil"/>
              <w:bottom w:val="single" w:sz="4" w:space="0" w:color="000000"/>
              <w:right w:val="nil"/>
            </w:tcBorders>
            <w:shd w:val="clear" w:color="auto" w:fill="auto"/>
            <w:noWrap/>
            <w:hideMark/>
          </w:tcPr>
          <w:p w14:paraId="2C07DA9B" w14:textId="77777777" w:rsidR="00C945A6" w:rsidRPr="00A71977" w:rsidRDefault="00C945A6" w:rsidP="0034260C">
            <w:pPr>
              <w:rPr>
                <w:rFonts w:ascii="Calibri" w:hAnsi="Calibri" w:cs="Calibri"/>
                <w:color w:val="000000"/>
                <w:lang w:eastAsia="en-ID"/>
              </w:rPr>
            </w:pPr>
            <w:r w:rsidRPr="00A71977">
              <w:rPr>
                <w:rFonts w:ascii="Calibri" w:hAnsi="Calibri" w:cs="Calibri"/>
                <w:color w:val="000000"/>
                <w:lang w:eastAsia="en-ID"/>
              </w:rPr>
              <w:t xml:space="preserve">Test critical </w:t>
            </w:r>
          </w:p>
        </w:tc>
        <w:tc>
          <w:tcPr>
            <w:tcW w:w="1897" w:type="dxa"/>
            <w:tcBorders>
              <w:top w:val="nil"/>
              <w:left w:val="nil"/>
              <w:bottom w:val="nil"/>
              <w:right w:val="nil"/>
            </w:tcBorders>
            <w:shd w:val="clear" w:color="auto" w:fill="auto"/>
            <w:noWrap/>
            <w:vAlign w:val="bottom"/>
            <w:hideMark/>
          </w:tcPr>
          <w:p w14:paraId="445A373D" w14:textId="77777777" w:rsidR="00C945A6" w:rsidRPr="00A71977" w:rsidRDefault="00C945A6" w:rsidP="0034260C">
            <w:pPr>
              <w:rPr>
                <w:rFonts w:ascii="Calibri" w:hAnsi="Calibri" w:cs="Calibri"/>
                <w:color w:val="000000"/>
                <w:lang w:eastAsia="en-ID"/>
              </w:rPr>
            </w:pPr>
            <w:r w:rsidRPr="00A71977">
              <w:rPr>
                <w:rFonts w:ascii="Calibri" w:hAnsi="Calibri" w:cs="Calibri"/>
                <w:color w:val="000000"/>
                <w:lang w:eastAsia="en-ID"/>
              </w:rPr>
              <w:t>1% level</w:t>
            </w:r>
          </w:p>
        </w:tc>
        <w:tc>
          <w:tcPr>
            <w:tcW w:w="1220" w:type="dxa"/>
            <w:tcBorders>
              <w:top w:val="nil"/>
              <w:left w:val="nil"/>
              <w:bottom w:val="nil"/>
              <w:right w:val="nil"/>
            </w:tcBorders>
            <w:shd w:val="clear" w:color="auto" w:fill="auto"/>
            <w:noWrap/>
            <w:vAlign w:val="bottom"/>
            <w:hideMark/>
          </w:tcPr>
          <w:p w14:paraId="5405EB36" w14:textId="77777777" w:rsidR="00C945A6" w:rsidRPr="00A71977" w:rsidRDefault="00C945A6" w:rsidP="0034260C">
            <w:pPr>
              <w:jc w:val="right"/>
              <w:rPr>
                <w:rFonts w:ascii="Calibri" w:hAnsi="Calibri" w:cs="Calibri"/>
                <w:color w:val="000000"/>
                <w:lang w:eastAsia="en-ID"/>
              </w:rPr>
            </w:pPr>
            <w:r w:rsidRPr="00A71977">
              <w:rPr>
                <w:rFonts w:ascii="Calibri" w:hAnsi="Calibri" w:cs="Calibri"/>
                <w:color w:val="000000"/>
                <w:lang w:eastAsia="en-ID"/>
              </w:rPr>
              <w:t>-3</w:t>
            </w:r>
            <w:r>
              <w:rPr>
                <w:rFonts w:ascii="Calibri" w:hAnsi="Calibri" w:cs="Calibri"/>
                <w:color w:val="000000"/>
                <w:lang w:eastAsia="en-ID"/>
              </w:rPr>
              <w:t>.</w:t>
            </w:r>
            <w:r w:rsidRPr="00A71977">
              <w:rPr>
                <w:rFonts w:ascii="Calibri" w:hAnsi="Calibri" w:cs="Calibri"/>
                <w:color w:val="000000"/>
                <w:lang w:eastAsia="en-ID"/>
              </w:rPr>
              <w:t>679322</w:t>
            </w:r>
          </w:p>
        </w:tc>
        <w:tc>
          <w:tcPr>
            <w:tcW w:w="1320" w:type="dxa"/>
            <w:vMerge w:val="restart"/>
            <w:tcBorders>
              <w:top w:val="nil"/>
              <w:left w:val="nil"/>
              <w:bottom w:val="single" w:sz="4" w:space="0" w:color="000000"/>
              <w:right w:val="nil"/>
            </w:tcBorders>
            <w:shd w:val="clear" w:color="auto" w:fill="auto"/>
            <w:noWrap/>
            <w:vAlign w:val="bottom"/>
            <w:hideMark/>
          </w:tcPr>
          <w:p w14:paraId="021D5E79" w14:textId="77777777" w:rsidR="00C945A6" w:rsidRPr="00A71977" w:rsidRDefault="00C945A6" w:rsidP="0034260C">
            <w:pPr>
              <w:jc w:val="right"/>
              <w:rPr>
                <w:rFonts w:ascii="Calibri" w:hAnsi="Calibri" w:cs="Calibri"/>
                <w:color w:val="000000"/>
                <w:lang w:eastAsia="en-ID"/>
              </w:rPr>
            </w:pPr>
          </w:p>
        </w:tc>
      </w:tr>
      <w:tr w:rsidR="00C945A6" w:rsidRPr="00A71977" w14:paraId="19420AC3" w14:textId="77777777" w:rsidTr="0034260C">
        <w:trPr>
          <w:trHeight w:val="290"/>
          <w:jc w:val="center"/>
        </w:trPr>
        <w:tc>
          <w:tcPr>
            <w:tcW w:w="2263" w:type="dxa"/>
            <w:vMerge/>
            <w:tcBorders>
              <w:top w:val="nil"/>
              <w:left w:val="nil"/>
              <w:bottom w:val="single" w:sz="4" w:space="0" w:color="000000"/>
              <w:right w:val="nil"/>
            </w:tcBorders>
            <w:vAlign w:val="center"/>
            <w:hideMark/>
          </w:tcPr>
          <w:p w14:paraId="00F9734C" w14:textId="77777777" w:rsidR="00C945A6" w:rsidRPr="00A71977" w:rsidRDefault="00C945A6" w:rsidP="0034260C">
            <w:pPr>
              <w:rPr>
                <w:rFonts w:ascii="Calibri" w:hAnsi="Calibri" w:cs="Calibri"/>
                <w:color w:val="000000"/>
                <w:lang w:eastAsia="en-ID"/>
              </w:rPr>
            </w:pPr>
          </w:p>
        </w:tc>
        <w:tc>
          <w:tcPr>
            <w:tcW w:w="1897" w:type="dxa"/>
            <w:tcBorders>
              <w:top w:val="nil"/>
              <w:left w:val="nil"/>
              <w:bottom w:val="nil"/>
              <w:right w:val="nil"/>
            </w:tcBorders>
            <w:shd w:val="clear" w:color="auto" w:fill="auto"/>
            <w:noWrap/>
            <w:vAlign w:val="bottom"/>
            <w:hideMark/>
          </w:tcPr>
          <w:p w14:paraId="7CC8E2CD" w14:textId="77777777" w:rsidR="00C945A6" w:rsidRPr="00A71977" w:rsidRDefault="00C945A6" w:rsidP="0034260C">
            <w:pPr>
              <w:rPr>
                <w:rFonts w:ascii="Calibri" w:hAnsi="Calibri" w:cs="Calibri"/>
                <w:color w:val="000000"/>
                <w:lang w:eastAsia="en-ID"/>
              </w:rPr>
            </w:pPr>
            <w:r w:rsidRPr="00A71977">
              <w:rPr>
                <w:rFonts w:ascii="Calibri" w:hAnsi="Calibri" w:cs="Calibri"/>
                <w:color w:val="000000"/>
                <w:lang w:eastAsia="en-ID"/>
              </w:rPr>
              <w:t>5% level</w:t>
            </w:r>
          </w:p>
        </w:tc>
        <w:tc>
          <w:tcPr>
            <w:tcW w:w="1220" w:type="dxa"/>
            <w:tcBorders>
              <w:top w:val="nil"/>
              <w:left w:val="nil"/>
              <w:bottom w:val="nil"/>
              <w:right w:val="nil"/>
            </w:tcBorders>
            <w:shd w:val="clear" w:color="auto" w:fill="auto"/>
            <w:noWrap/>
            <w:vAlign w:val="bottom"/>
            <w:hideMark/>
          </w:tcPr>
          <w:p w14:paraId="41B1DB85" w14:textId="77777777" w:rsidR="00C945A6" w:rsidRPr="00A71977" w:rsidRDefault="00C945A6" w:rsidP="0034260C">
            <w:pPr>
              <w:jc w:val="right"/>
              <w:rPr>
                <w:rFonts w:ascii="Calibri" w:hAnsi="Calibri" w:cs="Calibri"/>
                <w:color w:val="000000"/>
                <w:lang w:eastAsia="en-ID"/>
              </w:rPr>
            </w:pPr>
            <w:r w:rsidRPr="00A71977">
              <w:rPr>
                <w:rFonts w:ascii="Calibri" w:hAnsi="Calibri" w:cs="Calibri"/>
                <w:color w:val="000000"/>
                <w:lang w:eastAsia="en-ID"/>
              </w:rPr>
              <w:t>-2</w:t>
            </w:r>
            <w:r>
              <w:rPr>
                <w:rFonts w:ascii="Calibri" w:hAnsi="Calibri" w:cs="Calibri"/>
                <w:color w:val="000000"/>
                <w:lang w:eastAsia="en-ID"/>
              </w:rPr>
              <w:t>.</w:t>
            </w:r>
            <w:r w:rsidRPr="00A71977">
              <w:rPr>
                <w:rFonts w:ascii="Calibri" w:hAnsi="Calibri" w:cs="Calibri"/>
                <w:color w:val="000000"/>
                <w:lang w:eastAsia="en-ID"/>
              </w:rPr>
              <w:t>967767</w:t>
            </w:r>
          </w:p>
        </w:tc>
        <w:tc>
          <w:tcPr>
            <w:tcW w:w="1320" w:type="dxa"/>
            <w:vMerge/>
            <w:tcBorders>
              <w:top w:val="nil"/>
              <w:left w:val="nil"/>
              <w:bottom w:val="single" w:sz="4" w:space="0" w:color="000000"/>
              <w:right w:val="nil"/>
            </w:tcBorders>
            <w:vAlign w:val="center"/>
            <w:hideMark/>
          </w:tcPr>
          <w:p w14:paraId="5F3F44DF" w14:textId="77777777" w:rsidR="00C945A6" w:rsidRPr="00A71977" w:rsidRDefault="00C945A6" w:rsidP="0034260C">
            <w:pPr>
              <w:rPr>
                <w:rFonts w:ascii="Calibri" w:hAnsi="Calibri" w:cs="Calibri"/>
                <w:color w:val="000000"/>
                <w:lang w:eastAsia="en-ID"/>
              </w:rPr>
            </w:pPr>
          </w:p>
        </w:tc>
      </w:tr>
      <w:tr w:rsidR="00C945A6" w:rsidRPr="00A71977" w14:paraId="47D3E577" w14:textId="77777777" w:rsidTr="0034260C">
        <w:trPr>
          <w:trHeight w:val="290"/>
          <w:jc w:val="center"/>
        </w:trPr>
        <w:tc>
          <w:tcPr>
            <w:tcW w:w="2263" w:type="dxa"/>
            <w:vMerge/>
            <w:tcBorders>
              <w:top w:val="nil"/>
              <w:left w:val="nil"/>
              <w:bottom w:val="single" w:sz="4" w:space="0" w:color="000000"/>
              <w:right w:val="nil"/>
            </w:tcBorders>
            <w:vAlign w:val="center"/>
            <w:hideMark/>
          </w:tcPr>
          <w:p w14:paraId="15A395F6" w14:textId="77777777" w:rsidR="00C945A6" w:rsidRPr="00A71977" w:rsidRDefault="00C945A6" w:rsidP="0034260C">
            <w:pPr>
              <w:rPr>
                <w:rFonts w:ascii="Calibri" w:hAnsi="Calibri" w:cs="Calibri"/>
                <w:color w:val="000000"/>
                <w:lang w:eastAsia="en-ID"/>
              </w:rPr>
            </w:pPr>
          </w:p>
        </w:tc>
        <w:tc>
          <w:tcPr>
            <w:tcW w:w="1897" w:type="dxa"/>
            <w:tcBorders>
              <w:top w:val="nil"/>
              <w:left w:val="nil"/>
              <w:bottom w:val="single" w:sz="4" w:space="0" w:color="auto"/>
              <w:right w:val="nil"/>
            </w:tcBorders>
            <w:shd w:val="clear" w:color="auto" w:fill="auto"/>
            <w:noWrap/>
            <w:vAlign w:val="bottom"/>
            <w:hideMark/>
          </w:tcPr>
          <w:p w14:paraId="3FBCBDE8" w14:textId="77777777" w:rsidR="00C945A6" w:rsidRPr="00A71977" w:rsidRDefault="00C945A6" w:rsidP="0034260C">
            <w:pPr>
              <w:rPr>
                <w:rFonts w:ascii="Calibri" w:hAnsi="Calibri" w:cs="Calibri"/>
                <w:color w:val="000000"/>
                <w:lang w:eastAsia="en-ID"/>
              </w:rPr>
            </w:pPr>
            <w:r w:rsidRPr="00A71977">
              <w:rPr>
                <w:rFonts w:ascii="Calibri" w:hAnsi="Calibri" w:cs="Calibri"/>
                <w:color w:val="000000"/>
                <w:lang w:eastAsia="en-ID"/>
              </w:rPr>
              <w:t>10% level</w:t>
            </w:r>
          </w:p>
        </w:tc>
        <w:tc>
          <w:tcPr>
            <w:tcW w:w="1220" w:type="dxa"/>
            <w:tcBorders>
              <w:top w:val="nil"/>
              <w:left w:val="nil"/>
              <w:bottom w:val="single" w:sz="4" w:space="0" w:color="auto"/>
              <w:right w:val="nil"/>
            </w:tcBorders>
            <w:shd w:val="clear" w:color="auto" w:fill="auto"/>
            <w:noWrap/>
            <w:vAlign w:val="bottom"/>
            <w:hideMark/>
          </w:tcPr>
          <w:p w14:paraId="46CE4852" w14:textId="77777777" w:rsidR="00C945A6" w:rsidRPr="00A71977" w:rsidRDefault="00C945A6" w:rsidP="0034260C">
            <w:pPr>
              <w:jc w:val="right"/>
              <w:rPr>
                <w:rFonts w:ascii="Calibri" w:hAnsi="Calibri" w:cs="Calibri"/>
                <w:color w:val="000000"/>
                <w:lang w:eastAsia="en-ID"/>
              </w:rPr>
            </w:pPr>
            <w:r w:rsidRPr="00A71977">
              <w:rPr>
                <w:rFonts w:ascii="Calibri" w:hAnsi="Calibri" w:cs="Calibri"/>
                <w:color w:val="000000"/>
                <w:lang w:eastAsia="en-ID"/>
              </w:rPr>
              <w:t>-2</w:t>
            </w:r>
            <w:r>
              <w:rPr>
                <w:rFonts w:ascii="Calibri" w:hAnsi="Calibri" w:cs="Calibri"/>
                <w:color w:val="000000"/>
                <w:lang w:eastAsia="en-ID"/>
              </w:rPr>
              <w:t>.</w:t>
            </w:r>
            <w:r w:rsidRPr="00A71977">
              <w:rPr>
                <w:rFonts w:ascii="Calibri" w:hAnsi="Calibri" w:cs="Calibri"/>
                <w:color w:val="000000"/>
                <w:lang w:eastAsia="en-ID"/>
              </w:rPr>
              <w:t>622989</w:t>
            </w:r>
          </w:p>
        </w:tc>
        <w:tc>
          <w:tcPr>
            <w:tcW w:w="1320" w:type="dxa"/>
            <w:vMerge/>
            <w:tcBorders>
              <w:top w:val="nil"/>
              <w:left w:val="nil"/>
              <w:bottom w:val="single" w:sz="4" w:space="0" w:color="000000"/>
              <w:right w:val="nil"/>
            </w:tcBorders>
            <w:vAlign w:val="center"/>
            <w:hideMark/>
          </w:tcPr>
          <w:p w14:paraId="72B93FDD" w14:textId="77777777" w:rsidR="00C945A6" w:rsidRPr="00A71977" w:rsidRDefault="00C945A6" w:rsidP="0034260C">
            <w:pPr>
              <w:rPr>
                <w:rFonts w:ascii="Calibri" w:hAnsi="Calibri" w:cs="Calibri"/>
                <w:color w:val="000000"/>
                <w:lang w:eastAsia="en-ID"/>
              </w:rPr>
            </w:pPr>
          </w:p>
        </w:tc>
      </w:tr>
    </w:tbl>
    <w:p w14:paraId="2716DA87" w14:textId="00946469" w:rsidR="00C945A6" w:rsidRPr="000810C4" w:rsidRDefault="00C945A6" w:rsidP="00C945A6">
      <w:pPr>
        <w:rPr>
          <w:rFonts w:eastAsiaTheme="minorEastAsia"/>
          <w:b/>
          <w:bCs/>
          <w:i/>
          <w:iCs/>
        </w:rPr>
      </w:pPr>
      <w:r>
        <w:rPr>
          <w:rFonts w:eastAsiaTheme="minorEastAsia"/>
          <w:b/>
          <w:bCs/>
        </w:rPr>
        <w:tab/>
      </w:r>
      <w:r w:rsidR="00FC0AC3" w:rsidRPr="000810C4">
        <w:rPr>
          <w:rFonts w:eastAsiaTheme="minorEastAsia"/>
          <w:i/>
          <w:iCs/>
        </w:rPr>
        <w:t xml:space="preserve">Source: data processed using </w:t>
      </w:r>
      <w:proofErr w:type="spellStart"/>
      <w:r w:rsidR="00FC0AC3" w:rsidRPr="000810C4">
        <w:rPr>
          <w:rFonts w:eastAsiaTheme="minorEastAsia"/>
          <w:i/>
          <w:iCs/>
        </w:rPr>
        <w:t>Eviews</w:t>
      </w:r>
      <w:proofErr w:type="spellEnd"/>
      <w:r w:rsidR="00FC0AC3" w:rsidRPr="000810C4">
        <w:rPr>
          <w:rFonts w:eastAsiaTheme="minorEastAsia"/>
          <w:i/>
          <w:iCs/>
        </w:rPr>
        <w:t xml:space="preserve"> 12</w:t>
      </w:r>
    </w:p>
    <w:p w14:paraId="0A903736" w14:textId="77777777" w:rsidR="006E4EB2" w:rsidRDefault="006E4EB2" w:rsidP="000810C4">
      <w:pPr>
        <w:ind w:firstLine="567"/>
        <w:jc w:val="both"/>
        <w:rPr>
          <w:rFonts w:eastAsiaTheme="minorEastAsia"/>
        </w:rPr>
      </w:pPr>
    </w:p>
    <w:p w14:paraId="329BAE00" w14:textId="65138D76" w:rsidR="00FC0AC3" w:rsidRPr="00F436A7" w:rsidRDefault="00FC0AC3" w:rsidP="00290914">
      <w:pPr>
        <w:ind w:firstLine="567"/>
        <w:jc w:val="both"/>
        <w:rPr>
          <w:rFonts w:eastAsiaTheme="minorEastAsia"/>
        </w:rPr>
      </w:pPr>
      <w:r>
        <w:rPr>
          <w:rFonts w:eastAsiaTheme="minorEastAsia"/>
        </w:rPr>
        <w:t xml:space="preserve">Referring to the results of the ADF estimate in </w:t>
      </w:r>
      <w:r w:rsidR="007D517E">
        <w:rPr>
          <w:rFonts w:eastAsiaTheme="minorEastAsia"/>
        </w:rPr>
        <w:t>T</w:t>
      </w:r>
      <w:r>
        <w:rPr>
          <w:rFonts w:eastAsiaTheme="minorEastAsia"/>
        </w:rPr>
        <w:t>able 3</w:t>
      </w:r>
      <w:r w:rsidR="007D517E">
        <w:rPr>
          <w:rFonts w:eastAsiaTheme="minorEastAsia"/>
        </w:rPr>
        <w:t>,</w:t>
      </w:r>
      <w:r>
        <w:rPr>
          <w:rFonts w:eastAsiaTheme="minorEastAsia"/>
        </w:rPr>
        <w:t xml:space="preserve"> which shows that the ECT value is 0.0001 &lt; 0.05. then it can be concluded that the ECT is stationary at the level </w:t>
      </w:r>
      <w:proofErr w:type="spellStart"/>
      <w:r>
        <w:rPr>
          <w:rFonts w:eastAsiaTheme="minorEastAsia"/>
        </w:rPr>
        <w:t>level</w:t>
      </w:r>
      <w:proofErr w:type="spellEnd"/>
      <w:r>
        <w:rPr>
          <w:rFonts w:eastAsiaTheme="minorEastAsia"/>
        </w:rPr>
        <w:t>. Among them are the variables MS, ER, FDI, GDP, GE, INF</w:t>
      </w:r>
      <w:r w:rsidR="007D517E">
        <w:rPr>
          <w:rFonts w:eastAsiaTheme="minorEastAsia"/>
        </w:rPr>
        <w:t>,</w:t>
      </w:r>
      <w:r>
        <w:rPr>
          <w:rFonts w:eastAsiaTheme="minorEastAsia"/>
        </w:rPr>
        <w:t xml:space="preserve"> and IR</w:t>
      </w:r>
      <w:r w:rsidR="007D517E">
        <w:rPr>
          <w:rFonts w:eastAsiaTheme="minorEastAsia"/>
        </w:rPr>
        <w:t>, which</w:t>
      </w:r>
      <w:r>
        <w:rPr>
          <w:rFonts w:eastAsiaTheme="minorEastAsia"/>
        </w:rPr>
        <w:t xml:space="preserve"> are mutually integrated, so that all variables have a long-term balance. </w:t>
      </w:r>
      <w:proofErr w:type="gramStart"/>
      <w:r>
        <w:rPr>
          <w:rFonts w:eastAsiaTheme="minorEastAsia"/>
        </w:rPr>
        <w:t>So</w:t>
      </w:r>
      <w:proofErr w:type="gramEnd"/>
      <w:r w:rsidR="007D517E">
        <w:rPr>
          <w:rFonts w:eastAsiaTheme="minorEastAsia"/>
        </w:rPr>
        <w:t xml:space="preserve"> </w:t>
      </w:r>
      <w:r>
        <w:rPr>
          <w:rFonts w:eastAsiaTheme="minorEastAsia"/>
        </w:rPr>
        <w:t xml:space="preserve">it can be continued </w:t>
      </w:r>
      <w:r w:rsidR="007D517E">
        <w:rPr>
          <w:rFonts w:eastAsiaTheme="minorEastAsia"/>
        </w:rPr>
        <w:t>with</w:t>
      </w:r>
      <w:r>
        <w:rPr>
          <w:rFonts w:eastAsiaTheme="minorEastAsia"/>
        </w:rPr>
        <w:t xml:space="preserve"> the error </w:t>
      </w:r>
      <w:r>
        <w:rPr>
          <w:rFonts w:eastAsiaTheme="minorEastAsia"/>
          <w:i/>
          <w:iCs/>
        </w:rPr>
        <w:t xml:space="preserve">correction model test. </w:t>
      </w:r>
    </w:p>
    <w:p w14:paraId="0ED04862" w14:textId="77777777" w:rsidR="00697823" w:rsidRDefault="00697823" w:rsidP="00C945A6">
      <w:pPr>
        <w:jc w:val="both"/>
        <w:rPr>
          <w:rFonts w:eastAsiaTheme="minorEastAsia"/>
          <w:b/>
          <w:bCs/>
        </w:rPr>
      </w:pPr>
    </w:p>
    <w:p w14:paraId="19A7C710" w14:textId="77777777" w:rsidR="00FC0AC3" w:rsidRPr="00F34A91" w:rsidRDefault="00FC0AC3" w:rsidP="00590B2F">
      <w:pPr>
        <w:jc w:val="both"/>
        <w:rPr>
          <w:rFonts w:eastAsiaTheme="minorEastAsia"/>
          <w:b/>
          <w:bCs/>
          <w:i/>
          <w:iCs/>
        </w:rPr>
      </w:pPr>
      <w:proofErr w:type="spellStart"/>
      <w:r w:rsidRPr="00F34A91">
        <w:rPr>
          <w:rFonts w:eastAsiaTheme="minorEastAsia"/>
          <w:b/>
          <w:bCs/>
        </w:rPr>
        <w:t>Estimasi</w:t>
      </w:r>
      <w:proofErr w:type="spellEnd"/>
      <w:r w:rsidRPr="00F34A91">
        <w:rPr>
          <w:rFonts w:eastAsiaTheme="minorEastAsia"/>
          <w:b/>
          <w:bCs/>
        </w:rPr>
        <w:t xml:space="preserve"> </w:t>
      </w:r>
      <w:r w:rsidRPr="00F34A91">
        <w:rPr>
          <w:rFonts w:eastAsiaTheme="minorEastAsia"/>
          <w:b/>
          <w:bCs/>
          <w:i/>
          <w:iCs/>
        </w:rPr>
        <w:t>Error Correction Model</w:t>
      </w:r>
    </w:p>
    <w:p w14:paraId="548C80E9" w14:textId="77777777" w:rsidR="00FC0AC3" w:rsidRPr="00F34A91" w:rsidRDefault="00FC0AC3" w:rsidP="00590B2F">
      <w:pPr>
        <w:ind w:firstLine="567"/>
        <w:jc w:val="both"/>
        <w:rPr>
          <w:rFonts w:eastAsiaTheme="minorEastAsia"/>
        </w:rPr>
      </w:pPr>
      <w:r w:rsidRPr="00F34A91">
        <w:rPr>
          <w:rFonts w:eastAsiaTheme="minorEastAsia"/>
        </w:rPr>
        <w:t xml:space="preserve">The results of the long-term error correction model </w:t>
      </w:r>
      <w:r w:rsidRPr="00F34A91">
        <w:rPr>
          <w:rFonts w:eastAsiaTheme="minorEastAsia"/>
          <w:i/>
          <w:iCs/>
        </w:rPr>
        <w:t xml:space="preserve">regression test </w:t>
      </w:r>
      <w:r w:rsidRPr="00F34A91">
        <w:rPr>
          <w:rFonts w:eastAsiaTheme="minorEastAsia"/>
        </w:rPr>
        <w:t>are as follows:</w:t>
      </w:r>
    </w:p>
    <w:p w14:paraId="0EEA3A17" w14:textId="1121FD28" w:rsidR="00C945A6" w:rsidRPr="00F34A91" w:rsidRDefault="00FC0AC3" w:rsidP="00C945A6">
      <w:pPr>
        <w:jc w:val="center"/>
        <w:rPr>
          <w:rFonts w:eastAsiaTheme="minorEastAsia"/>
          <w:b/>
          <w:bCs/>
        </w:rPr>
      </w:pPr>
      <w:r w:rsidRPr="00F34A91">
        <w:rPr>
          <w:rFonts w:eastAsiaTheme="minorEastAsia"/>
          <w:b/>
          <w:bCs/>
        </w:rPr>
        <w:t>Table 4. Long-Term Estimation</w:t>
      </w:r>
      <w:r w:rsidR="00C945A6" w:rsidRPr="00F34A91">
        <w:rPr>
          <w:rFonts w:eastAsiaTheme="minorEastAsia"/>
          <w:b/>
          <w:bCs/>
        </w:rPr>
        <w:t xml:space="preserve"> </w:t>
      </w:r>
    </w:p>
    <w:tbl>
      <w:tblPr>
        <w:tblW w:w="5620" w:type="dxa"/>
        <w:jc w:val="center"/>
        <w:tblLook w:val="04A0" w:firstRow="1" w:lastRow="0" w:firstColumn="1" w:lastColumn="0" w:noHBand="0" w:noVBand="1"/>
      </w:tblPr>
      <w:tblGrid>
        <w:gridCol w:w="1342"/>
        <w:gridCol w:w="1738"/>
        <w:gridCol w:w="1220"/>
        <w:gridCol w:w="1363"/>
      </w:tblGrid>
      <w:tr w:rsidR="00C945A6" w:rsidRPr="00B43035" w14:paraId="59E472B4" w14:textId="77777777" w:rsidTr="0034260C">
        <w:trPr>
          <w:trHeight w:val="280"/>
          <w:jc w:val="center"/>
        </w:trPr>
        <w:tc>
          <w:tcPr>
            <w:tcW w:w="3080" w:type="dxa"/>
            <w:gridSpan w:val="2"/>
            <w:tcBorders>
              <w:top w:val="single" w:sz="4" w:space="0" w:color="auto"/>
              <w:left w:val="nil"/>
              <w:bottom w:val="single" w:sz="4" w:space="0" w:color="auto"/>
              <w:right w:val="nil"/>
            </w:tcBorders>
            <w:shd w:val="clear" w:color="auto" w:fill="auto"/>
            <w:noWrap/>
            <w:vAlign w:val="bottom"/>
            <w:hideMark/>
          </w:tcPr>
          <w:p w14:paraId="4AC34697" w14:textId="371E323D" w:rsidR="00C945A6" w:rsidRPr="00B43035" w:rsidRDefault="00FC0AC3" w:rsidP="0034260C">
            <w:pPr>
              <w:rPr>
                <w:color w:val="000000"/>
                <w:lang w:eastAsia="en-ID"/>
              </w:rPr>
            </w:pPr>
            <w:bookmarkStart w:id="0" w:name="_Hlk169293248"/>
            <w:r w:rsidRPr="00B43035">
              <w:rPr>
                <w:color w:val="000000"/>
                <w:lang w:eastAsia="en-ID"/>
              </w:rPr>
              <w:t>Dependent variable: MS</w:t>
            </w:r>
          </w:p>
        </w:tc>
        <w:tc>
          <w:tcPr>
            <w:tcW w:w="1220" w:type="dxa"/>
            <w:tcBorders>
              <w:top w:val="single" w:sz="4" w:space="0" w:color="auto"/>
              <w:left w:val="nil"/>
              <w:bottom w:val="single" w:sz="4" w:space="0" w:color="auto"/>
              <w:right w:val="nil"/>
            </w:tcBorders>
            <w:shd w:val="clear" w:color="auto" w:fill="auto"/>
            <w:noWrap/>
            <w:vAlign w:val="bottom"/>
            <w:hideMark/>
          </w:tcPr>
          <w:p w14:paraId="4077FE93" w14:textId="77777777" w:rsidR="00C945A6" w:rsidRPr="00B43035" w:rsidRDefault="00C945A6" w:rsidP="0034260C">
            <w:pPr>
              <w:rPr>
                <w:color w:val="000000"/>
                <w:lang w:eastAsia="en-ID"/>
              </w:rPr>
            </w:pPr>
            <w:r w:rsidRPr="00B43035">
              <w:rPr>
                <w:color w:val="000000"/>
                <w:lang w:eastAsia="en-ID"/>
              </w:rPr>
              <w:t> </w:t>
            </w:r>
          </w:p>
        </w:tc>
        <w:tc>
          <w:tcPr>
            <w:tcW w:w="1320" w:type="dxa"/>
            <w:tcBorders>
              <w:top w:val="single" w:sz="4" w:space="0" w:color="auto"/>
              <w:left w:val="nil"/>
              <w:bottom w:val="single" w:sz="4" w:space="0" w:color="auto"/>
              <w:right w:val="nil"/>
            </w:tcBorders>
            <w:shd w:val="clear" w:color="auto" w:fill="auto"/>
            <w:noWrap/>
            <w:vAlign w:val="bottom"/>
            <w:hideMark/>
          </w:tcPr>
          <w:p w14:paraId="566E2092" w14:textId="77777777" w:rsidR="00C945A6" w:rsidRPr="00B43035" w:rsidRDefault="00C945A6" w:rsidP="0034260C">
            <w:pPr>
              <w:rPr>
                <w:color w:val="000000"/>
                <w:lang w:eastAsia="en-ID"/>
              </w:rPr>
            </w:pPr>
            <w:r w:rsidRPr="00B43035">
              <w:rPr>
                <w:color w:val="000000"/>
                <w:lang w:eastAsia="en-ID"/>
              </w:rPr>
              <w:t> </w:t>
            </w:r>
          </w:p>
        </w:tc>
      </w:tr>
      <w:tr w:rsidR="00C945A6" w:rsidRPr="00B43035" w14:paraId="1D766F8E" w14:textId="77777777" w:rsidTr="0034260C">
        <w:trPr>
          <w:trHeight w:val="280"/>
          <w:jc w:val="center"/>
        </w:trPr>
        <w:tc>
          <w:tcPr>
            <w:tcW w:w="1342" w:type="dxa"/>
            <w:tcBorders>
              <w:top w:val="nil"/>
              <w:left w:val="nil"/>
              <w:bottom w:val="single" w:sz="4" w:space="0" w:color="auto"/>
              <w:right w:val="nil"/>
            </w:tcBorders>
            <w:shd w:val="clear" w:color="auto" w:fill="auto"/>
            <w:noWrap/>
            <w:vAlign w:val="bottom"/>
            <w:hideMark/>
          </w:tcPr>
          <w:p w14:paraId="2C115249" w14:textId="399C88D9" w:rsidR="00C945A6" w:rsidRPr="00B43035" w:rsidRDefault="00C945A6" w:rsidP="0034260C">
            <w:pPr>
              <w:rPr>
                <w:color w:val="000000"/>
                <w:lang w:eastAsia="en-ID"/>
              </w:rPr>
            </w:pPr>
            <w:r w:rsidRPr="00B43035">
              <w:rPr>
                <w:color w:val="000000"/>
                <w:lang w:eastAsia="en-ID"/>
              </w:rPr>
              <w:t>Variabl</w:t>
            </w:r>
            <w:r w:rsidR="005B2B99">
              <w:rPr>
                <w:color w:val="000000"/>
                <w:lang w:eastAsia="en-ID"/>
              </w:rPr>
              <w:t>e</w:t>
            </w:r>
            <w:r w:rsidRPr="00B43035">
              <w:rPr>
                <w:color w:val="000000"/>
                <w:lang w:eastAsia="en-ID"/>
              </w:rPr>
              <w:t xml:space="preserve">  </w:t>
            </w:r>
          </w:p>
        </w:tc>
        <w:tc>
          <w:tcPr>
            <w:tcW w:w="1738" w:type="dxa"/>
            <w:tcBorders>
              <w:top w:val="nil"/>
              <w:left w:val="nil"/>
              <w:bottom w:val="single" w:sz="4" w:space="0" w:color="auto"/>
              <w:right w:val="nil"/>
            </w:tcBorders>
            <w:shd w:val="clear" w:color="auto" w:fill="auto"/>
            <w:noWrap/>
            <w:vAlign w:val="bottom"/>
            <w:hideMark/>
          </w:tcPr>
          <w:p w14:paraId="2F8E8DC4" w14:textId="77777777" w:rsidR="00C945A6" w:rsidRPr="00B43035" w:rsidRDefault="00C945A6" w:rsidP="0034260C">
            <w:pPr>
              <w:rPr>
                <w:color w:val="000000"/>
                <w:lang w:eastAsia="en-ID"/>
              </w:rPr>
            </w:pPr>
            <w:r w:rsidRPr="00B43035">
              <w:rPr>
                <w:color w:val="000000"/>
                <w:lang w:eastAsia="en-ID"/>
              </w:rPr>
              <w:t xml:space="preserve">Coefficient </w:t>
            </w:r>
          </w:p>
        </w:tc>
        <w:tc>
          <w:tcPr>
            <w:tcW w:w="1220" w:type="dxa"/>
            <w:tcBorders>
              <w:top w:val="nil"/>
              <w:left w:val="nil"/>
              <w:bottom w:val="single" w:sz="4" w:space="0" w:color="auto"/>
              <w:right w:val="nil"/>
            </w:tcBorders>
            <w:shd w:val="clear" w:color="auto" w:fill="auto"/>
            <w:noWrap/>
            <w:vAlign w:val="bottom"/>
            <w:hideMark/>
          </w:tcPr>
          <w:p w14:paraId="0AE16A7A" w14:textId="77777777" w:rsidR="00C945A6" w:rsidRPr="00B43035" w:rsidRDefault="00C945A6" w:rsidP="0034260C">
            <w:pPr>
              <w:rPr>
                <w:color w:val="000000"/>
                <w:lang w:eastAsia="en-ID"/>
              </w:rPr>
            </w:pPr>
            <w:r w:rsidRPr="00B43035">
              <w:rPr>
                <w:color w:val="000000"/>
                <w:lang w:eastAsia="en-ID"/>
              </w:rPr>
              <w:t xml:space="preserve">t-Statistic </w:t>
            </w:r>
          </w:p>
        </w:tc>
        <w:tc>
          <w:tcPr>
            <w:tcW w:w="1320" w:type="dxa"/>
            <w:tcBorders>
              <w:top w:val="nil"/>
              <w:left w:val="nil"/>
              <w:bottom w:val="single" w:sz="4" w:space="0" w:color="auto"/>
              <w:right w:val="nil"/>
            </w:tcBorders>
            <w:shd w:val="clear" w:color="auto" w:fill="auto"/>
            <w:noWrap/>
            <w:vAlign w:val="bottom"/>
            <w:hideMark/>
          </w:tcPr>
          <w:p w14:paraId="04BE8EBC" w14:textId="77777777" w:rsidR="00C945A6" w:rsidRPr="00B43035" w:rsidRDefault="00C945A6" w:rsidP="0034260C">
            <w:pPr>
              <w:rPr>
                <w:color w:val="000000"/>
                <w:lang w:eastAsia="en-ID"/>
              </w:rPr>
            </w:pPr>
            <w:r w:rsidRPr="00B43035">
              <w:rPr>
                <w:color w:val="000000"/>
                <w:lang w:eastAsia="en-ID"/>
              </w:rPr>
              <w:t xml:space="preserve">Probabilitas </w:t>
            </w:r>
          </w:p>
        </w:tc>
      </w:tr>
      <w:tr w:rsidR="00C945A6" w:rsidRPr="00B43035" w14:paraId="7BF0B412" w14:textId="77777777" w:rsidTr="0034260C">
        <w:trPr>
          <w:trHeight w:val="280"/>
          <w:jc w:val="center"/>
        </w:trPr>
        <w:tc>
          <w:tcPr>
            <w:tcW w:w="1342" w:type="dxa"/>
            <w:tcBorders>
              <w:top w:val="nil"/>
              <w:left w:val="nil"/>
              <w:bottom w:val="nil"/>
              <w:right w:val="nil"/>
            </w:tcBorders>
            <w:shd w:val="clear" w:color="auto" w:fill="auto"/>
            <w:noWrap/>
            <w:vAlign w:val="bottom"/>
            <w:hideMark/>
          </w:tcPr>
          <w:p w14:paraId="63A26955" w14:textId="77777777" w:rsidR="00C945A6" w:rsidRPr="00B43035" w:rsidRDefault="00C945A6" w:rsidP="0034260C">
            <w:pPr>
              <w:rPr>
                <w:color w:val="000000"/>
                <w:lang w:eastAsia="en-ID"/>
              </w:rPr>
            </w:pPr>
            <w:r w:rsidRPr="00B43035">
              <w:rPr>
                <w:color w:val="000000"/>
                <w:lang w:eastAsia="en-ID"/>
              </w:rPr>
              <w:t>C</w:t>
            </w:r>
          </w:p>
        </w:tc>
        <w:tc>
          <w:tcPr>
            <w:tcW w:w="1738" w:type="dxa"/>
            <w:tcBorders>
              <w:top w:val="nil"/>
              <w:left w:val="nil"/>
              <w:bottom w:val="nil"/>
              <w:right w:val="nil"/>
            </w:tcBorders>
            <w:shd w:val="clear" w:color="auto" w:fill="auto"/>
            <w:noWrap/>
            <w:vAlign w:val="bottom"/>
            <w:hideMark/>
          </w:tcPr>
          <w:p w14:paraId="68AFDE68" w14:textId="77777777" w:rsidR="00C945A6" w:rsidRPr="00B43035" w:rsidRDefault="00C945A6" w:rsidP="0034260C">
            <w:pPr>
              <w:jc w:val="right"/>
              <w:rPr>
                <w:color w:val="000000"/>
                <w:lang w:eastAsia="en-ID"/>
              </w:rPr>
            </w:pPr>
            <w:r w:rsidRPr="00B43035">
              <w:rPr>
                <w:color w:val="000000"/>
                <w:lang w:eastAsia="en-ID"/>
              </w:rPr>
              <w:t>42</w:t>
            </w:r>
            <w:r>
              <w:rPr>
                <w:color w:val="000000"/>
                <w:lang w:eastAsia="en-ID"/>
              </w:rPr>
              <w:t>.</w:t>
            </w:r>
            <w:r w:rsidRPr="00B43035">
              <w:rPr>
                <w:color w:val="000000"/>
                <w:lang w:eastAsia="en-ID"/>
              </w:rPr>
              <w:t>01469</w:t>
            </w:r>
          </w:p>
        </w:tc>
        <w:tc>
          <w:tcPr>
            <w:tcW w:w="1220" w:type="dxa"/>
            <w:tcBorders>
              <w:top w:val="nil"/>
              <w:left w:val="nil"/>
              <w:bottom w:val="nil"/>
              <w:right w:val="nil"/>
            </w:tcBorders>
            <w:shd w:val="clear" w:color="auto" w:fill="auto"/>
            <w:noWrap/>
            <w:vAlign w:val="bottom"/>
            <w:hideMark/>
          </w:tcPr>
          <w:p w14:paraId="3DF437A3" w14:textId="77777777" w:rsidR="00C945A6" w:rsidRPr="00B43035" w:rsidRDefault="00C945A6" w:rsidP="0034260C">
            <w:pPr>
              <w:jc w:val="right"/>
              <w:rPr>
                <w:color w:val="000000"/>
                <w:lang w:eastAsia="en-ID"/>
              </w:rPr>
            </w:pPr>
            <w:r w:rsidRPr="00B43035">
              <w:rPr>
                <w:color w:val="000000"/>
                <w:lang w:eastAsia="en-ID"/>
              </w:rPr>
              <w:t>4</w:t>
            </w:r>
            <w:r>
              <w:rPr>
                <w:color w:val="000000"/>
                <w:lang w:eastAsia="en-ID"/>
              </w:rPr>
              <w:t>.</w:t>
            </w:r>
            <w:r w:rsidRPr="00B43035">
              <w:rPr>
                <w:color w:val="000000"/>
                <w:lang w:eastAsia="en-ID"/>
              </w:rPr>
              <w:t>304461</w:t>
            </w:r>
          </w:p>
        </w:tc>
        <w:tc>
          <w:tcPr>
            <w:tcW w:w="1320" w:type="dxa"/>
            <w:tcBorders>
              <w:top w:val="nil"/>
              <w:left w:val="nil"/>
              <w:bottom w:val="nil"/>
              <w:right w:val="nil"/>
            </w:tcBorders>
            <w:shd w:val="clear" w:color="auto" w:fill="auto"/>
            <w:noWrap/>
            <w:vAlign w:val="bottom"/>
            <w:hideMark/>
          </w:tcPr>
          <w:p w14:paraId="5D074BB8" w14:textId="77777777" w:rsidR="00C945A6" w:rsidRPr="00B43035" w:rsidRDefault="00C945A6" w:rsidP="0034260C">
            <w:pPr>
              <w:jc w:val="right"/>
              <w:rPr>
                <w:color w:val="000000"/>
                <w:lang w:eastAsia="en-ID"/>
              </w:rPr>
            </w:pPr>
            <w:r w:rsidRPr="00B43035">
              <w:rPr>
                <w:color w:val="000000"/>
                <w:lang w:eastAsia="en-ID"/>
              </w:rPr>
              <w:t>0</w:t>
            </w:r>
            <w:r>
              <w:rPr>
                <w:color w:val="000000"/>
                <w:lang w:eastAsia="en-ID"/>
              </w:rPr>
              <w:t>.</w:t>
            </w:r>
            <w:r w:rsidRPr="00B43035">
              <w:rPr>
                <w:color w:val="000000"/>
                <w:lang w:eastAsia="en-ID"/>
              </w:rPr>
              <w:t>0003</w:t>
            </w:r>
          </w:p>
        </w:tc>
      </w:tr>
      <w:tr w:rsidR="00C945A6" w:rsidRPr="00B43035" w14:paraId="2C875005" w14:textId="77777777" w:rsidTr="0034260C">
        <w:trPr>
          <w:trHeight w:val="280"/>
          <w:jc w:val="center"/>
        </w:trPr>
        <w:tc>
          <w:tcPr>
            <w:tcW w:w="1342" w:type="dxa"/>
            <w:tcBorders>
              <w:top w:val="nil"/>
              <w:left w:val="nil"/>
              <w:bottom w:val="nil"/>
              <w:right w:val="nil"/>
            </w:tcBorders>
            <w:shd w:val="clear" w:color="auto" w:fill="auto"/>
            <w:noWrap/>
            <w:vAlign w:val="bottom"/>
            <w:hideMark/>
          </w:tcPr>
          <w:p w14:paraId="5C391BC3" w14:textId="77777777" w:rsidR="00C945A6" w:rsidRPr="00B43035" w:rsidRDefault="00C945A6" w:rsidP="0034260C">
            <w:pPr>
              <w:rPr>
                <w:color w:val="000000"/>
                <w:lang w:eastAsia="en-ID"/>
              </w:rPr>
            </w:pPr>
            <w:r w:rsidRPr="00B43035">
              <w:rPr>
                <w:color w:val="000000"/>
                <w:lang w:eastAsia="en-ID"/>
              </w:rPr>
              <w:t>ER</w:t>
            </w:r>
          </w:p>
        </w:tc>
        <w:tc>
          <w:tcPr>
            <w:tcW w:w="1738" w:type="dxa"/>
            <w:tcBorders>
              <w:top w:val="nil"/>
              <w:left w:val="nil"/>
              <w:bottom w:val="nil"/>
              <w:right w:val="nil"/>
            </w:tcBorders>
            <w:shd w:val="clear" w:color="auto" w:fill="auto"/>
            <w:noWrap/>
            <w:vAlign w:val="bottom"/>
            <w:hideMark/>
          </w:tcPr>
          <w:p w14:paraId="15EAE02F" w14:textId="77777777" w:rsidR="00C945A6" w:rsidRPr="00B43035" w:rsidRDefault="00C945A6" w:rsidP="0034260C">
            <w:pPr>
              <w:jc w:val="right"/>
              <w:rPr>
                <w:color w:val="000000"/>
                <w:lang w:eastAsia="en-ID"/>
              </w:rPr>
            </w:pPr>
            <w:r w:rsidRPr="00B43035">
              <w:rPr>
                <w:color w:val="000000"/>
                <w:lang w:eastAsia="en-ID"/>
              </w:rPr>
              <w:t>-0</w:t>
            </w:r>
            <w:r>
              <w:rPr>
                <w:color w:val="000000"/>
                <w:lang w:eastAsia="en-ID"/>
              </w:rPr>
              <w:t>.</w:t>
            </w:r>
            <w:r w:rsidRPr="00B43035">
              <w:rPr>
                <w:color w:val="000000"/>
                <w:lang w:eastAsia="en-ID"/>
              </w:rPr>
              <w:t>001607</w:t>
            </w:r>
          </w:p>
        </w:tc>
        <w:tc>
          <w:tcPr>
            <w:tcW w:w="1220" w:type="dxa"/>
            <w:tcBorders>
              <w:top w:val="nil"/>
              <w:left w:val="nil"/>
              <w:bottom w:val="nil"/>
              <w:right w:val="nil"/>
            </w:tcBorders>
            <w:shd w:val="clear" w:color="auto" w:fill="auto"/>
            <w:noWrap/>
            <w:vAlign w:val="bottom"/>
            <w:hideMark/>
          </w:tcPr>
          <w:p w14:paraId="6EA72477" w14:textId="77777777" w:rsidR="00C945A6" w:rsidRPr="00B43035" w:rsidRDefault="00C945A6" w:rsidP="0034260C">
            <w:pPr>
              <w:jc w:val="right"/>
              <w:rPr>
                <w:color w:val="000000"/>
                <w:lang w:eastAsia="en-ID"/>
              </w:rPr>
            </w:pPr>
            <w:r w:rsidRPr="00B43035">
              <w:rPr>
                <w:color w:val="000000"/>
                <w:lang w:eastAsia="en-ID"/>
              </w:rPr>
              <w:t>-6</w:t>
            </w:r>
            <w:r>
              <w:rPr>
                <w:color w:val="000000"/>
                <w:lang w:eastAsia="en-ID"/>
              </w:rPr>
              <w:t>.</w:t>
            </w:r>
            <w:r w:rsidRPr="00B43035">
              <w:rPr>
                <w:color w:val="000000"/>
                <w:lang w:eastAsia="en-ID"/>
              </w:rPr>
              <w:t>103292</w:t>
            </w:r>
          </w:p>
        </w:tc>
        <w:tc>
          <w:tcPr>
            <w:tcW w:w="1320" w:type="dxa"/>
            <w:tcBorders>
              <w:top w:val="nil"/>
              <w:left w:val="nil"/>
              <w:bottom w:val="nil"/>
              <w:right w:val="nil"/>
            </w:tcBorders>
            <w:shd w:val="clear" w:color="auto" w:fill="auto"/>
            <w:noWrap/>
            <w:vAlign w:val="bottom"/>
            <w:hideMark/>
          </w:tcPr>
          <w:p w14:paraId="1D2EEEAE" w14:textId="77777777" w:rsidR="00C945A6" w:rsidRPr="00B43035" w:rsidRDefault="00C945A6" w:rsidP="0034260C">
            <w:pPr>
              <w:jc w:val="right"/>
              <w:rPr>
                <w:color w:val="000000"/>
                <w:lang w:eastAsia="en-ID"/>
              </w:rPr>
            </w:pPr>
            <w:r w:rsidRPr="00B43035">
              <w:rPr>
                <w:color w:val="000000"/>
                <w:lang w:eastAsia="en-ID"/>
              </w:rPr>
              <w:t>0</w:t>
            </w:r>
            <w:r>
              <w:rPr>
                <w:color w:val="000000"/>
                <w:lang w:eastAsia="en-ID"/>
              </w:rPr>
              <w:t>.</w:t>
            </w:r>
            <w:r w:rsidRPr="00B43035">
              <w:rPr>
                <w:color w:val="000000"/>
                <w:lang w:eastAsia="en-ID"/>
              </w:rPr>
              <w:t>0000</w:t>
            </w:r>
          </w:p>
        </w:tc>
      </w:tr>
      <w:tr w:rsidR="00C945A6" w:rsidRPr="00B43035" w14:paraId="4DD5919F" w14:textId="77777777" w:rsidTr="0034260C">
        <w:trPr>
          <w:trHeight w:val="280"/>
          <w:jc w:val="center"/>
        </w:trPr>
        <w:tc>
          <w:tcPr>
            <w:tcW w:w="1342" w:type="dxa"/>
            <w:tcBorders>
              <w:top w:val="nil"/>
              <w:left w:val="nil"/>
              <w:bottom w:val="nil"/>
              <w:right w:val="nil"/>
            </w:tcBorders>
            <w:shd w:val="clear" w:color="auto" w:fill="auto"/>
            <w:noWrap/>
            <w:vAlign w:val="bottom"/>
            <w:hideMark/>
          </w:tcPr>
          <w:p w14:paraId="5E159C3E" w14:textId="77777777" w:rsidR="00C945A6" w:rsidRPr="00B43035" w:rsidRDefault="00C945A6" w:rsidP="0034260C">
            <w:pPr>
              <w:rPr>
                <w:color w:val="000000"/>
                <w:lang w:eastAsia="en-ID"/>
              </w:rPr>
            </w:pPr>
            <w:r w:rsidRPr="00B43035">
              <w:rPr>
                <w:color w:val="000000"/>
                <w:lang w:eastAsia="en-ID"/>
              </w:rPr>
              <w:t>FDI</w:t>
            </w:r>
          </w:p>
        </w:tc>
        <w:tc>
          <w:tcPr>
            <w:tcW w:w="1738" w:type="dxa"/>
            <w:tcBorders>
              <w:top w:val="nil"/>
              <w:left w:val="nil"/>
              <w:bottom w:val="nil"/>
              <w:right w:val="nil"/>
            </w:tcBorders>
            <w:shd w:val="clear" w:color="auto" w:fill="auto"/>
            <w:noWrap/>
            <w:vAlign w:val="bottom"/>
            <w:hideMark/>
          </w:tcPr>
          <w:p w14:paraId="7E17DAD9" w14:textId="77777777" w:rsidR="00C945A6" w:rsidRPr="00B43035" w:rsidRDefault="00C945A6" w:rsidP="0034260C">
            <w:pPr>
              <w:jc w:val="right"/>
              <w:rPr>
                <w:color w:val="000000"/>
                <w:lang w:eastAsia="en-ID"/>
              </w:rPr>
            </w:pPr>
            <w:r w:rsidRPr="00B43035">
              <w:rPr>
                <w:color w:val="000000"/>
                <w:lang w:eastAsia="en-ID"/>
              </w:rPr>
              <w:t>1</w:t>
            </w:r>
            <w:r>
              <w:rPr>
                <w:color w:val="000000"/>
                <w:lang w:eastAsia="en-ID"/>
              </w:rPr>
              <w:t>.</w:t>
            </w:r>
            <w:r w:rsidRPr="00B43035">
              <w:rPr>
                <w:color w:val="000000"/>
                <w:lang w:eastAsia="en-ID"/>
              </w:rPr>
              <w:t>977782</w:t>
            </w:r>
          </w:p>
        </w:tc>
        <w:tc>
          <w:tcPr>
            <w:tcW w:w="1220" w:type="dxa"/>
            <w:tcBorders>
              <w:top w:val="nil"/>
              <w:left w:val="nil"/>
              <w:bottom w:val="nil"/>
              <w:right w:val="nil"/>
            </w:tcBorders>
            <w:shd w:val="clear" w:color="auto" w:fill="auto"/>
            <w:noWrap/>
            <w:vAlign w:val="bottom"/>
            <w:hideMark/>
          </w:tcPr>
          <w:p w14:paraId="7433BF59" w14:textId="77777777" w:rsidR="00C945A6" w:rsidRPr="00B43035" w:rsidRDefault="00C945A6" w:rsidP="0034260C">
            <w:pPr>
              <w:jc w:val="right"/>
              <w:rPr>
                <w:color w:val="000000"/>
                <w:lang w:eastAsia="en-ID"/>
              </w:rPr>
            </w:pPr>
            <w:r w:rsidRPr="00B43035">
              <w:rPr>
                <w:color w:val="000000"/>
                <w:lang w:eastAsia="en-ID"/>
              </w:rPr>
              <w:t>3</w:t>
            </w:r>
            <w:r>
              <w:rPr>
                <w:color w:val="000000"/>
                <w:lang w:eastAsia="en-ID"/>
              </w:rPr>
              <w:t>.</w:t>
            </w:r>
            <w:r w:rsidRPr="00B43035">
              <w:rPr>
                <w:color w:val="000000"/>
                <w:lang w:eastAsia="en-ID"/>
              </w:rPr>
              <w:t>032233</w:t>
            </w:r>
          </w:p>
        </w:tc>
        <w:tc>
          <w:tcPr>
            <w:tcW w:w="1320" w:type="dxa"/>
            <w:tcBorders>
              <w:top w:val="nil"/>
              <w:left w:val="nil"/>
              <w:bottom w:val="nil"/>
              <w:right w:val="nil"/>
            </w:tcBorders>
            <w:shd w:val="clear" w:color="auto" w:fill="auto"/>
            <w:noWrap/>
            <w:vAlign w:val="bottom"/>
            <w:hideMark/>
          </w:tcPr>
          <w:p w14:paraId="0040B7BE" w14:textId="77777777" w:rsidR="00C945A6" w:rsidRPr="00B43035" w:rsidRDefault="00C945A6" w:rsidP="0034260C">
            <w:pPr>
              <w:jc w:val="right"/>
              <w:rPr>
                <w:color w:val="000000"/>
                <w:lang w:eastAsia="en-ID"/>
              </w:rPr>
            </w:pPr>
            <w:r w:rsidRPr="00B43035">
              <w:rPr>
                <w:color w:val="000000"/>
                <w:lang w:eastAsia="en-ID"/>
              </w:rPr>
              <w:t>0</w:t>
            </w:r>
            <w:r>
              <w:rPr>
                <w:color w:val="000000"/>
                <w:lang w:eastAsia="en-ID"/>
              </w:rPr>
              <w:t>.</w:t>
            </w:r>
            <w:r w:rsidRPr="00B43035">
              <w:rPr>
                <w:color w:val="000000"/>
                <w:lang w:eastAsia="en-ID"/>
              </w:rPr>
              <w:t>0059</w:t>
            </w:r>
          </w:p>
        </w:tc>
      </w:tr>
      <w:tr w:rsidR="00C945A6" w:rsidRPr="00B43035" w14:paraId="10C1DCC2" w14:textId="77777777" w:rsidTr="0034260C">
        <w:trPr>
          <w:trHeight w:val="280"/>
          <w:jc w:val="center"/>
        </w:trPr>
        <w:tc>
          <w:tcPr>
            <w:tcW w:w="1342" w:type="dxa"/>
            <w:tcBorders>
              <w:top w:val="nil"/>
              <w:left w:val="nil"/>
              <w:bottom w:val="nil"/>
              <w:right w:val="nil"/>
            </w:tcBorders>
            <w:shd w:val="clear" w:color="auto" w:fill="auto"/>
            <w:noWrap/>
            <w:vAlign w:val="bottom"/>
            <w:hideMark/>
          </w:tcPr>
          <w:p w14:paraId="154050F0" w14:textId="77777777" w:rsidR="00C945A6" w:rsidRPr="00B43035" w:rsidRDefault="00C945A6" w:rsidP="0034260C">
            <w:pPr>
              <w:rPr>
                <w:color w:val="000000"/>
                <w:lang w:eastAsia="en-ID"/>
              </w:rPr>
            </w:pPr>
            <w:r w:rsidRPr="00B43035">
              <w:rPr>
                <w:color w:val="000000"/>
                <w:lang w:eastAsia="en-ID"/>
              </w:rPr>
              <w:t>GDP</w:t>
            </w:r>
          </w:p>
        </w:tc>
        <w:tc>
          <w:tcPr>
            <w:tcW w:w="1738" w:type="dxa"/>
            <w:tcBorders>
              <w:top w:val="nil"/>
              <w:left w:val="nil"/>
              <w:bottom w:val="nil"/>
              <w:right w:val="nil"/>
            </w:tcBorders>
            <w:shd w:val="clear" w:color="auto" w:fill="auto"/>
            <w:noWrap/>
            <w:vAlign w:val="bottom"/>
            <w:hideMark/>
          </w:tcPr>
          <w:p w14:paraId="5F6DD6AF" w14:textId="77777777" w:rsidR="00C945A6" w:rsidRPr="00B43035" w:rsidRDefault="00C945A6" w:rsidP="0034260C">
            <w:pPr>
              <w:jc w:val="right"/>
              <w:rPr>
                <w:color w:val="000000"/>
                <w:lang w:eastAsia="en-ID"/>
              </w:rPr>
            </w:pPr>
            <w:r w:rsidRPr="00B43035">
              <w:rPr>
                <w:color w:val="000000"/>
                <w:lang w:eastAsia="en-ID"/>
              </w:rPr>
              <w:t>-1</w:t>
            </w:r>
            <w:r>
              <w:rPr>
                <w:color w:val="000000"/>
                <w:lang w:eastAsia="en-ID"/>
              </w:rPr>
              <w:t>.</w:t>
            </w:r>
            <w:r w:rsidRPr="00B43035">
              <w:rPr>
                <w:color w:val="000000"/>
                <w:lang w:eastAsia="en-ID"/>
              </w:rPr>
              <w:t>556494</w:t>
            </w:r>
          </w:p>
        </w:tc>
        <w:tc>
          <w:tcPr>
            <w:tcW w:w="1220" w:type="dxa"/>
            <w:tcBorders>
              <w:top w:val="nil"/>
              <w:left w:val="nil"/>
              <w:bottom w:val="nil"/>
              <w:right w:val="nil"/>
            </w:tcBorders>
            <w:shd w:val="clear" w:color="auto" w:fill="auto"/>
            <w:noWrap/>
            <w:vAlign w:val="bottom"/>
            <w:hideMark/>
          </w:tcPr>
          <w:p w14:paraId="13D1ED11" w14:textId="77777777" w:rsidR="00C945A6" w:rsidRPr="00B43035" w:rsidRDefault="00C945A6" w:rsidP="0034260C">
            <w:pPr>
              <w:jc w:val="right"/>
              <w:rPr>
                <w:color w:val="000000"/>
                <w:lang w:eastAsia="en-ID"/>
              </w:rPr>
            </w:pPr>
            <w:r w:rsidRPr="00B43035">
              <w:rPr>
                <w:color w:val="000000"/>
                <w:lang w:eastAsia="en-ID"/>
              </w:rPr>
              <w:t>-3</w:t>
            </w:r>
            <w:r>
              <w:rPr>
                <w:color w:val="000000"/>
                <w:lang w:eastAsia="en-ID"/>
              </w:rPr>
              <w:t>.</w:t>
            </w:r>
            <w:r w:rsidRPr="00B43035">
              <w:rPr>
                <w:color w:val="000000"/>
                <w:lang w:eastAsia="en-ID"/>
              </w:rPr>
              <w:t>799007</w:t>
            </w:r>
          </w:p>
        </w:tc>
        <w:tc>
          <w:tcPr>
            <w:tcW w:w="1320" w:type="dxa"/>
            <w:tcBorders>
              <w:top w:val="nil"/>
              <w:left w:val="nil"/>
              <w:bottom w:val="nil"/>
              <w:right w:val="nil"/>
            </w:tcBorders>
            <w:shd w:val="clear" w:color="auto" w:fill="auto"/>
            <w:noWrap/>
            <w:vAlign w:val="bottom"/>
            <w:hideMark/>
          </w:tcPr>
          <w:p w14:paraId="77805175" w14:textId="77777777" w:rsidR="00C945A6" w:rsidRPr="00B43035" w:rsidRDefault="00C945A6" w:rsidP="0034260C">
            <w:pPr>
              <w:jc w:val="right"/>
              <w:rPr>
                <w:color w:val="000000"/>
                <w:lang w:eastAsia="en-ID"/>
              </w:rPr>
            </w:pPr>
            <w:r w:rsidRPr="00B43035">
              <w:rPr>
                <w:color w:val="000000"/>
                <w:lang w:eastAsia="en-ID"/>
              </w:rPr>
              <w:t>0</w:t>
            </w:r>
            <w:r>
              <w:rPr>
                <w:color w:val="000000"/>
                <w:lang w:eastAsia="en-ID"/>
              </w:rPr>
              <w:t>.</w:t>
            </w:r>
            <w:r w:rsidRPr="00B43035">
              <w:rPr>
                <w:color w:val="000000"/>
                <w:lang w:eastAsia="en-ID"/>
              </w:rPr>
              <w:t>0009</w:t>
            </w:r>
          </w:p>
        </w:tc>
      </w:tr>
      <w:tr w:rsidR="00C945A6" w:rsidRPr="00B43035" w14:paraId="042CD440" w14:textId="77777777" w:rsidTr="0034260C">
        <w:trPr>
          <w:trHeight w:val="280"/>
          <w:jc w:val="center"/>
        </w:trPr>
        <w:tc>
          <w:tcPr>
            <w:tcW w:w="1342" w:type="dxa"/>
            <w:tcBorders>
              <w:top w:val="nil"/>
              <w:left w:val="nil"/>
              <w:bottom w:val="nil"/>
              <w:right w:val="nil"/>
            </w:tcBorders>
            <w:shd w:val="clear" w:color="auto" w:fill="auto"/>
            <w:noWrap/>
            <w:vAlign w:val="bottom"/>
            <w:hideMark/>
          </w:tcPr>
          <w:p w14:paraId="783EBDA3" w14:textId="77777777" w:rsidR="00C945A6" w:rsidRPr="00B43035" w:rsidRDefault="00C945A6" w:rsidP="0034260C">
            <w:pPr>
              <w:rPr>
                <w:color w:val="000000"/>
                <w:lang w:eastAsia="en-ID"/>
              </w:rPr>
            </w:pPr>
            <w:r w:rsidRPr="00B43035">
              <w:rPr>
                <w:color w:val="000000"/>
                <w:lang w:eastAsia="en-ID"/>
              </w:rPr>
              <w:t>GE</w:t>
            </w:r>
          </w:p>
        </w:tc>
        <w:tc>
          <w:tcPr>
            <w:tcW w:w="1738" w:type="dxa"/>
            <w:tcBorders>
              <w:top w:val="nil"/>
              <w:left w:val="nil"/>
              <w:bottom w:val="nil"/>
              <w:right w:val="nil"/>
            </w:tcBorders>
            <w:shd w:val="clear" w:color="auto" w:fill="auto"/>
            <w:noWrap/>
            <w:vAlign w:val="bottom"/>
            <w:hideMark/>
          </w:tcPr>
          <w:p w14:paraId="19FE1B24" w14:textId="77777777" w:rsidR="00C945A6" w:rsidRPr="00B43035" w:rsidRDefault="00C945A6" w:rsidP="0034260C">
            <w:pPr>
              <w:jc w:val="right"/>
              <w:rPr>
                <w:color w:val="000000"/>
                <w:lang w:eastAsia="en-ID"/>
              </w:rPr>
            </w:pPr>
            <w:r w:rsidRPr="00B43035">
              <w:rPr>
                <w:color w:val="000000"/>
                <w:lang w:eastAsia="en-ID"/>
              </w:rPr>
              <w:t>-0</w:t>
            </w:r>
            <w:r>
              <w:rPr>
                <w:color w:val="000000"/>
                <w:lang w:eastAsia="en-ID"/>
              </w:rPr>
              <w:t>.</w:t>
            </w:r>
            <w:r w:rsidRPr="00B43035">
              <w:rPr>
                <w:color w:val="000000"/>
                <w:lang w:eastAsia="en-ID"/>
              </w:rPr>
              <w:t>502535</w:t>
            </w:r>
          </w:p>
        </w:tc>
        <w:tc>
          <w:tcPr>
            <w:tcW w:w="1220" w:type="dxa"/>
            <w:tcBorders>
              <w:top w:val="nil"/>
              <w:left w:val="nil"/>
              <w:bottom w:val="nil"/>
              <w:right w:val="nil"/>
            </w:tcBorders>
            <w:shd w:val="clear" w:color="auto" w:fill="auto"/>
            <w:noWrap/>
            <w:vAlign w:val="bottom"/>
            <w:hideMark/>
          </w:tcPr>
          <w:p w14:paraId="4463F08C" w14:textId="77777777" w:rsidR="00C945A6" w:rsidRPr="00B43035" w:rsidRDefault="00C945A6" w:rsidP="0034260C">
            <w:pPr>
              <w:jc w:val="right"/>
              <w:rPr>
                <w:color w:val="000000"/>
                <w:lang w:eastAsia="en-ID"/>
              </w:rPr>
            </w:pPr>
            <w:r w:rsidRPr="00B43035">
              <w:rPr>
                <w:color w:val="000000"/>
                <w:lang w:eastAsia="en-ID"/>
              </w:rPr>
              <w:t>-0</w:t>
            </w:r>
            <w:r>
              <w:rPr>
                <w:color w:val="000000"/>
                <w:lang w:eastAsia="en-ID"/>
              </w:rPr>
              <w:t>.</w:t>
            </w:r>
            <w:r w:rsidRPr="00B43035">
              <w:rPr>
                <w:color w:val="000000"/>
                <w:lang w:eastAsia="en-ID"/>
              </w:rPr>
              <w:t>466146</w:t>
            </w:r>
          </w:p>
        </w:tc>
        <w:tc>
          <w:tcPr>
            <w:tcW w:w="1320" w:type="dxa"/>
            <w:tcBorders>
              <w:top w:val="nil"/>
              <w:left w:val="nil"/>
              <w:bottom w:val="nil"/>
              <w:right w:val="nil"/>
            </w:tcBorders>
            <w:shd w:val="clear" w:color="auto" w:fill="auto"/>
            <w:noWrap/>
            <w:vAlign w:val="bottom"/>
            <w:hideMark/>
          </w:tcPr>
          <w:p w14:paraId="490FF4BD" w14:textId="77777777" w:rsidR="00C945A6" w:rsidRPr="00B43035" w:rsidRDefault="00C945A6" w:rsidP="0034260C">
            <w:pPr>
              <w:jc w:val="right"/>
              <w:rPr>
                <w:color w:val="000000"/>
                <w:lang w:eastAsia="en-ID"/>
              </w:rPr>
            </w:pPr>
            <w:r w:rsidRPr="00B43035">
              <w:rPr>
                <w:color w:val="000000"/>
                <w:lang w:eastAsia="en-ID"/>
              </w:rPr>
              <w:t>0</w:t>
            </w:r>
            <w:r>
              <w:rPr>
                <w:color w:val="000000"/>
                <w:lang w:eastAsia="en-ID"/>
              </w:rPr>
              <w:t>.</w:t>
            </w:r>
            <w:r w:rsidRPr="00B43035">
              <w:rPr>
                <w:color w:val="000000"/>
                <w:lang w:eastAsia="en-ID"/>
              </w:rPr>
              <w:t>6455</w:t>
            </w:r>
          </w:p>
        </w:tc>
      </w:tr>
      <w:tr w:rsidR="00C945A6" w:rsidRPr="00B43035" w14:paraId="7EF00CE6" w14:textId="77777777" w:rsidTr="0034260C">
        <w:trPr>
          <w:trHeight w:val="280"/>
          <w:jc w:val="center"/>
        </w:trPr>
        <w:tc>
          <w:tcPr>
            <w:tcW w:w="1342" w:type="dxa"/>
            <w:tcBorders>
              <w:top w:val="nil"/>
              <w:left w:val="nil"/>
              <w:bottom w:val="nil"/>
              <w:right w:val="nil"/>
            </w:tcBorders>
            <w:shd w:val="clear" w:color="auto" w:fill="auto"/>
            <w:noWrap/>
            <w:vAlign w:val="bottom"/>
            <w:hideMark/>
          </w:tcPr>
          <w:p w14:paraId="46D749B5" w14:textId="77777777" w:rsidR="00C945A6" w:rsidRPr="00B43035" w:rsidRDefault="00C945A6" w:rsidP="0034260C">
            <w:pPr>
              <w:rPr>
                <w:color w:val="000000"/>
                <w:lang w:eastAsia="en-ID"/>
              </w:rPr>
            </w:pPr>
            <w:r w:rsidRPr="00B43035">
              <w:rPr>
                <w:color w:val="000000"/>
                <w:lang w:eastAsia="en-ID"/>
              </w:rPr>
              <w:t>INF</w:t>
            </w:r>
          </w:p>
        </w:tc>
        <w:tc>
          <w:tcPr>
            <w:tcW w:w="1738" w:type="dxa"/>
            <w:tcBorders>
              <w:top w:val="nil"/>
              <w:left w:val="nil"/>
              <w:bottom w:val="nil"/>
              <w:right w:val="nil"/>
            </w:tcBorders>
            <w:shd w:val="clear" w:color="auto" w:fill="auto"/>
            <w:noWrap/>
            <w:vAlign w:val="bottom"/>
            <w:hideMark/>
          </w:tcPr>
          <w:p w14:paraId="4C336FE8" w14:textId="77777777" w:rsidR="00C945A6" w:rsidRPr="00B43035" w:rsidRDefault="00C945A6" w:rsidP="0034260C">
            <w:pPr>
              <w:jc w:val="right"/>
              <w:rPr>
                <w:color w:val="000000"/>
                <w:lang w:eastAsia="en-ID"/>
              </w:rPr>
            </w:pPr>
            <w:r w:rsidRPr="00B43035">
              <w:rPr>
                <w:color w:val="000000"/>
                <w:lang w:eastAsia="en-ID"/>
              </w:rPr>
              <w:t>0</w:t>
            </w:r>
            <w:r>
              <w:rPr>
                <w:color w:val="000000"/>
                <w:lang w:eastAsia="en-ID"/>
              </w:rPr>
              <w:t>.</w:t>
            </w:r>
            <w:r w:rsidRPr="00B43035">
              <w:rPr>
                <w:color w:val="000000"/>
                <w:lang w:eastAsia="en-ID"/>
              </w:rPr>
              <w:t>035290</w:t>
            </w:r>
          </w:p>
        </w:tc>
        <w:tc>
          <w:tcPr>
            <w:tcW w:w="1220" w:type="dxa"/>
            <w:tcBorders>
              <w:top w:val="nil"/>
              <w:left w:val="nil"/>
              <w:bottom w:val="nil"/>
              <w:right w:val="nil"/>
            </w:tcBorders>
            <w:shd w:val="clear" w:color="auto" w:fill="auto"/>
            <w:noWrap/>
            <w:vAlign w:val="bottom"/>
            <w:hideMark/>
          </w:tcPr>
          <w:p w14:paraId="6C58F83C" w14:textId="77777777" w:rsidR="00C945A6" w:rsidRPr="00B43035" w:rsidRDefault="00C945A6" w:rsidP="0034260C">
            <w:pPr>
              <w:jc w:val="right"/>
              <w:rPr>
                <w:color w:val="000000"/>
                <w:lang w:eastAsia="en-ID"/>
              </w:rPr>
            </w:pPr>
            <w:r w:rsidRPr="00B43035">
              <w:rPr>
                <w:color w:val="000000"/>
                <w:lang w:eastAsia="en-ID"/>
              </w:rPr>
              <w:t>0</w:t>
            </w:r>
            <w:r>
              <w:rPr>
                <w:color w:val="000000"/>
                <w:lang w:eastAsia="en-ID"/>
              </w:rPr>
              <w:t>.</w:t>
            </w:r>
            <w:r w:rsidRPr="00B43035">
              <w:rPr>
                <w:color w:val="000000"/>
                <w:lang w:eastAsia="en-ID"/>
              </w:rPr>
              <w:t>199468</w:t>
            </w:r>
          </w:p>
        </w:tc>
        <w:tc>
          <w:tcPr>
            <w:tcW w:w="1320" w:type="dxa"/>
            <w:tcBorders>
              <w:top w:val="nil"/>
              <w:left w:val="nil"/>
              <w:bottom w:val="nil"/>
              <w:right w:val="nil"/>
            </w:tcBorders>
            <w:shd w:val="clear" w:color="auto" w:fill="auto"/>
            <w:noWrap/>
            <w:vAlign w:val="bottom"/>
            <w:hideMark/>
          </w:tcPr>
          <w:p w14:paraId="2C3817A6" w14:textId="77777777" w:rsidR="00C945A6" w:rsidRPr="00B43035" w:rsidRDefault="00C945A6" w:rsidP="0034260C">
            <w:pPr>
              <w:jc w:val="right"/>
              <w:rPr>
                <w:color w:val="000000"/>
                <w:lang w:eastAsia="en-ID"/>
              </w:rPr>
            </w:pPr>
            <w:r w:rsidRPr="00B43035">
              <w:rPr>
                <w:color w:val="000000"/>
                <w:lang w:eastAsia="en-ID"/>
              </w:rPr>
              <w:t>0</w:t>
            </w:r>
            <w:r>
              <w:rPr>
                <w:color w:val="000000"/>
                <w:lang w:eastAsia="en-ID"/>
              </w:rPr>
              <w:t>.</w:t>
            </w:r>
            <w:r w:rsidRPr="00B43035">
              <w:rPr>
                <w:color w:val="000000"/>
                <w:lang w:eastAsia="en-ID"/>
              </w:rPr>
              <w:t>8436</w:t>
            </w:r>
          </w:p>
        </w:tc>
      </w:tr>
      <w:tr w:rsidR="00C945A6" w:rsidRPr="00B43035" w14:paraId="595BF48D" w14:textId="77777777" w:rsidTr="0034260C">
        <w:trPr>
          <w:trHeight w:val="280"/>
          <w:jc w:val="center"/>
        </w:trPr>
        <w:tc>
          <w:tcPr>
            <w:tcW w:w="1342" w:type="dxa"/>
            <w:tcBorders>
              <w:top w:val="nil"/>
              <w:left w:val="nil"/>
              <w:bottom w:val="single" w:sz="4" w:space="0" w:color="auto"/>
              <w:right w:val="nil"/>
            </w:tcBorders>
            <w:shd w:val="clear" w:color="auto" w:fill="auto"/>
            <w:noWrap/>
            <w:vAlign w:val="bottom"/>
            <w:hideMark/>
          </w:tcPr>
          <w:p w14:paraId="5A2BCC56" w14:textId="77777777" w:rsidR="00C945A6" w:rsidRPr="00B43035" w:rsidRDefault="00C945A6" w:rsidP="0034260C">
            <w:pPr>
              <w:rPr>
                <w:color w:val="000000"/>
                <w:lang w:eastAsia="en-ID"/>
              </w:rPr>
            </w:pPr>
            <w:r w:rsidRPr="00B43035">
              <w:rPr>
                <w:color w:val="000000"/>
                <w:lang w:eastAsia="en-ID"/>
              </w:rPr>
              <w:t>IR</w:t>
            </w:r>
          </w:p>
        </w:tc>
        <w:tc>
          <w:tcPr>
            <w:tcW w:w="1738" w:type="dxa"/>
            <w:tcBorders>
              <w:top w:val="nil"/>
              <w:left w:val="nil"/>
              <w:bottom w:val="single" w:sz="4" w:space="0" w:color="auto"/>
              <w:right w:val="nil"/>
            </w:tcBorders>
            <w:shd w:val="clear" w:color="auto" w:fill="auto"/>
            <w:noWrap/>
            <w:vAlign w:val="bottom"/>
            <w:hideMark/>
          </w:tcPr>
          <w:p w14:paraId="5D4AF7F3" w14:textId="77777777" w:rsidR="00C945A6" w:rsidRPr="00B43035" w:rsidRDefault="00C945A6" w:rsidP="0034260C">
            <w:pPr>
              <w:jc w:val="right"/>
              <w:rPr>
                <w:color w:val="000000"/>
                <w:lang w:eastAsia="en-ID"/>
              </w:rPr>
            </w:pPr>
            <w:r w:rsidRPr="00B43035">
              <w:rPr>
                <w:color w:val="000000"/>
                <w:lang w:eastAsia="en-ID"/>
              </w:rPr>
              <w:t>-0</w:t>
            </w:r>
            <w:r>
              <w:rPr>
                <w:color w:val="000000"/>
                <w:lang w:eastAsia="en-ID"/>
              </w:rPr>
              <w:t>.</w:t>
            </w:r>
            <w:r w:rsidRPr="00B43035">
              <w:rPr>
                <w:color w:val="000000"/>
                <w:lang w:eastAsia="en-ID"/>
              </w:rPr>
              <w:t>612800</w:t>
            </w:r>
          </w:p>
        </w:tc>
        <w:tc>
          <w:tcPr>
            <w:tcW w:w="1220" w:type="dxa"/>
            <w:tcBorders>
              <w:top w:val="nil"/>
              <w:left w:val="nil"/>
              <w:bottom w:val="single" w:sz="4" w:space="0" w:color="auto"/>
              <w:right w:val="nil"/>
            </w:tcBorders>
            <w:shd w:val="clear" w:color="auto" w:fill="auto"/>
            <w:noWrap/>
            <w:vAlign w:val="bottom"/>
            <w:hideMark/>
          </w:tcPr>
          <w:p w14:paraId="20171705" w14:textId="77777777" w:rsidR="00C945A6" w:rsidRPr="00B43035" w:rsidRDefault="00C945A6" w:rsidP="0034260C">
            <w:pPr>
              <w:jc w:val="right"/>
              <w:rPr>
                <w:color w:val="000000"/>
                <w:lang w:eastAsia="en-ID"/>
              </w:rPr>
            </w:pPr>
            <w:r w:rsidRPr="00B43035">
              <w:rPr>
                <w:color w:val="000000"/>
                <w:lang w:eastAsia="en-ID"/>
              </w:rPr>
              <w:t>-4</w:t>
            </w:r>
            <w:r>
              <w:rPr>
                <w:color w:val="000000"/>
                <w:lang w:eastAsia="en-ID"/>
              </w:rPr>
              <w:t>.</w:t>
            </w:r>
            <w:r w:rsidRPr="00B43035">
              <w:rPr>
                <w:color w:val="000000"/>
                <w:lang w:eastAsia="en-ID"/>
              </w:rPr>
              <w:t>250811</w:t>
            </w:r>
          </w:p>
        </w:tc>
        <w:tc>
          <w:tcPr>
            <w:tcW w:w="1320" w:type="dxa"/>
            <w:tcBorders>
              <w:top w:val="nil"/>
              <w:left w:val="nil"/>
              <w:bottom w:val="single" w:sz="4" w:space="0" w:color="auto"/>
              <w:right w:val="nil"/>
            </w:tcBorders>
            <w:shd w:val="clear" w:color="auto" w:fill="auto"/>
            <w:noWrap/>
            <w:vAlign w:val="bottom"/>
            <w:hideMark/>
          </w:tcPr>
          <w:p w14:paraId="30DAEA51" w14:textId="77777777" w:rsidR="00C945A6" w:rsidRPr="00B43035" w:rsidRDefault="00C945A6" w:rsidP="0034260C">
            <w:pPr>
              <w:jc w:val="right"/>
              <w:rPr>
                <w:color w:val="000000"/>
                <w:lang w:eastAsia="en-ID"/>
              </w:rPr>
            </w:pPr>
            <w:r w:rsidRPr="00B43035">
              <w:rPr>
                <w:color w:val="000000"/>
                <w:lang w:eastAsia="en-ID"/>
              </w:rPr>
              <w:t>0</w:t>
            </w:r>
            <w:r>
              <w:rPr>
                <w:color w:val="000000"/>
                <w:lang w:eastAsia="en-ID"/>
              </w:rPr>
              <w:t>.</w:t>
            </w:r>
            <w:r w:rsidRPr="00B43035">
              <w:rPr>
                <w:color w:val="000000"/>
                <w:lang w:eastAsia="en-ID"/>
              </w:rPr>
              <w:t>0003</w:t>
            </w:r>
          </w:p>
        </w:tc>
      </w:tr>
    </w:tbl>
    <w:bookmarkEnd w:id="0"/>
    <w:p w14:paraId="37C197DF" w14:textId="21EB3B52" w:rsidR="00C945A6" w:rsidRPr="000810C4" w:rsidRDefault="00C945A6" w:rsidP="00C945A6">
      <w:pPr>
        <w:rPr>
          <w:rFonts w:eastAsiaTheme="minorEastAsia"/>
          <w:b/>
          <w:bCs/>
          <w:i/>
          <w:iCs/>
        </w:rPr>
      </w:pPr>
      <w:r>
        <w:rPr>
          <w:rFonts w:eastAsiaTheme="minorEastAsia"/>
          <w:b/>
          <w:bCs/>
        </w:rPr>
        <w:tab/>
      </w:r>
      <w:r w:rsidR="005B2B99" w:rsidRPr="000810C4">
        <w:rPr>
          <w:rFonts w:eastAsiaTheme="minorEastAsia"/>
          <w:i/>
          <w:iCs/>
        </w:rPr>
        <w:t xml:space="preserve">Source: data processed using </w:t>
      </w:r>
      <w:proofErr w:type="spellStart"/>
      <w:r w:rsidR="005B2B99" w:rsidRPr="000810C4">
        <w:rPr>
          <w:rFonts w:eastAsiaTheme="minorEastAsia"/>
          <w:i/>
          <w:iCs/>
        </w:rPr>
        <w:t>Eviews</w:t>
      </w:r>
      <w:proofErr w:type="spellEnd"/>
      <w:r w:rsidR="005B2B99" w:rsidRPr="000810C4">
        <w:rPr>
          <w:rFonts w:eastAsiaTheme="minorEastAsia"/>
          <w:i/>
          <w:iCs/>
        </w:rPr>
        <w:t xml:space="preserve"> 12</w:t>
      </w:r>
    </w:p>
    <w:p w14:paraId="175597EF" w14:textId="77777777" w:rsidR="006E4EB2" w:rsidRDefault="006E4EB2" w:rsidP="000810C4">
      <w:pPr>
        <w:ind w:firstLine="567"/>
        <w:jc w:val="both"/>
        <w:rPr>
          <w:rFonts w:eastAsiaTheme="minorEastAsia"/>
        </w:rPr>
      </w:pPr>
    </w:p>
    <w:p w14:paraId="7D378864" w14:textId="400F0BEF" w:rsidR="005B2B99" w:rsidRPr="00F34A91" w:rsidRDefault="005B2B99" w:rsidP="00BD4B7D">
      <w:pPr>
        <w:ind w:firstLine="567"/>
        <w:jc w:val="both"/>
        <w:rPr>
          <w:rFonts w:eastAsiaTheme="minorEastAsia"/>
        </w:rPr>
      </w:pPr>
      <w:r w:rsidRPr="00F34A91">
        <w:rPr>
          <w:rFonts w:eastAsiaTheme="minorEastAsia"/>
        </w:rPr>
        <w:t xml:space="preserve">Referring to the results of long-term regression in </w:t>
      </w:r>
      <w:r w:rsidR="007D517E">
        <w:rPr>
          <w:rFonts w:eastAsiaTheme="minorEastAsia"/>
        </w:rPr>
        <w:t>T</w:t>
      </w:r>
      <w:r w:rsidRPr="00F34A91">
        <w:rPr>
          <w:rFonts w:eastAsiaTheme="minorEastAsia"/>
        </w:rPr>
        <w:t xml:space="preserve">able 4 above, the regression coefficient obtained can be written as a regression as follows: </w:t>
      </w:r>
    </w:p>
    <w:p w14:paraId="31D18AEF" w14:textId="77777777" w:rsidR="00C945A6" w:rsidRPr="00F34A91" w:rsidRDefault="004C472D" w:rsidP="00C945A6">
      <w:pPr>
        <w:jc w:val="both"/>
        <w:rPr>
          <w:rFonts w:eastAsiaTheme="minorEastAsia"/>
        </w:rPr>
      </w:pPr>
      <m:oMath>
        <m:sSub>
          <m:sSubPr>
            <m:ctrlPr>
              <w:rPr>
                <w:rFonts w:ascii="Cambria Math" w:eastAsiaTheme="minorEastAsia" w:hAnsi="Cambria Math"/>
                <w:i/>
              </w:rPr>
            </m:ctrlPr>
          </m:sSubPr>
          <m:e>
            <m:r>
              <w:rPr>
                <w:rFonts w:ascii="Cambria Math" w:eastAsiaTheme="minorEastAsia" w:hAnsi="Cambria Math"/>
              </w:rPr>
              <m:t>MS</m:t>
            </m:r>
          </m:e>
          <m:sub>
            <m:r>
              <w:rPr>
                <w:rFonts w:ascii="Cambria Math" w:eastAsiaTheme="minorEastAsia" w:hAnsi="Cambria Math"/>
              </w:rPr>
              <m:t>t</m:t>
            </m:r>
          </m:sub>
        </m:sSub>
        <m:r>
          <w:rPr>
            <w:rFonts w:ascii="Cambria Math" w:eastAsiaTheme="minorEastAsia" w:hAnsi="Cambria Math"/>
          </w:rPr>
          <m:t>=42.01469+</m:t>
        </m:r>
        <m:sSub>
          <m:sSubPr>
            <m:ctrlPr>
              <w:rPr>
                <w:rFonts w:ascii="Cambria Math" w:eastAsiaTheme="minorEastAsia" w:hAnsi="Cambria Math"/>
                <w:i/>
              </w:rPr>
            </m:ctrlPr>
          </m:sSubPr>
          <m:e>
            <m:r>
              <w:rPr>
                <w:rFonts w:ascii="Cambria Math" w:eastAsiaTheme="minorEastAsia" w:hAnsi="Cambria Math"/>
              </w:rPr>
              <m:t>-</m:t>
            </m:r>
            <m:r>
              <w:rPr>
                <w:rFonts w:ascii="Cambria Math" w:eastAsiaTheme="minorEastAsia" w:hAnsi="Cambria Math"/>
              </w:rPr>
              <m:t>0.00</m:t>
            </m:r>
            <m:r>
              <w:rPr>
                <w:rFonts w:ascii="Cambria Math" w:eastAsiaTheme="minorEastAsia" w:hAnsi="Cambria Math"/>
              </w:rPr>
              <m:t>ER</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1.97</m:t>
            </m:r>
            <m:r>
              <w:rPr>
                <w:rFonts w:ascii="Cambria Math" w:eastAsiaTheme="minorEastAsia" w:hAnsi="Cambria Math"/>
              </w:rPr>
              <m:t>FDI</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m:t>
            </m:r>
            <m:r>
              <w:rPr>
                <w:rFonts w:ascii="Cambria Math" w:eastAsiaTheme="minorEastAsia" w:hAnsi="Cambria Math"/>
              </w:rPr>
              <m:t>1.55</m:t>
            </m:r>
            <m:r>
              <w:rPr>
                <w:rFonts w:ascii="Cambria Math" w:eastAsiaTheme="minorEastAsia" w:hAnsi="Cambria Math"/>
              </w:rPr>
              <m:t>GDP</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m:t>
            </m:r>
            <m:r>
              <w:rPr>
                <w:rFonts w:ascii="Cambria Math" w:eastAsiaTheme="minorEastAsia" w:hAnsi="Cambria Math"/>
              </w:rPr>
              <m:t>0.50</m:t>
            </m:r>
            <m:r>
              <w:rPr>
                <w:rFonts w:ascii="Cambria Math" w:eastAsiaTheme="minorEastAsia" w:hAnsi="Cambria Math"/>
              </w:rPr>
              <m:t>GE</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0.03</m:t>
            </m:r>
            <m:r>
              <w:rPr>
                <w:rFonts w:ascii="Cambria Math" w:eastAsiaTheme="minorEastAsia" w:hAnsi="Cambria Math"/>
              </w:rPr>
              <m:t>INF</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m:t>
            </m:r>
            <m:r>
              <w:rPr>
                <w:rFonts w:ascii="Cambria Math" w:eastAsiaTheme="minorEastAsia" w:hAnsi="Cambria Math"/>
              </w:rPr>
              <m:t>061</m:t>
            </m:r>
            <m:r>
              <w:rPr>
                <w:rFonts w:ascii="Cambria Math" w:eastAsiaTheme="minorEastAsia" w:hAnsi="Cambria Math"/>
              </w:rPr>
              <m:t>IR</m:t>
            </m:r>
          </m:e>
          <m:sub>
            <m:r>
              <w:rPr>
                <w:rFonts w:ascii="Cambria Math" w:eastAsiaTheme="minorEastAsia" w:hAnsi="Cambria Math"/>
              </w:rPr>
              <m:t>t</m:t>
            </m:r>
          </m:sub>
        </m:sSub>
      </m:oMath>
      <w:r w:rsidR="00C945A6" w:rsidRPr="00F34A91">
        <w:rPr>
          <w:rFonts w:eastAsiaTheme="minorEastAsia"/>
        </w:rPr>
        <w:t xml:space="preserve"> </w:t>
      </w:r>
    </w:p>
    <w:p w14:paraId="5BD39513" w14:textId="6B92912C" w:rsidR="006E4EB2" w:rsidRDefault="005B2B99" w:rsidP="005B2B99">
      <w:pPr>
        <w:ind w:firstLine="567"/>
        <w:jc w:val="both"/>
        <w:rPr>
          <w:rFonts w:eastAsiaTheme="minorEastAsia"/>
        </w:rPr>
      </w:pPr>
      <w:r w:rsidRPr="00F34A91">
        <w:rPr>
          <w:rFonts w:eastAsiaTheme="minorEastAsia"/>
        </w:rPr>
        <w:t xml:space="preserve">The next step is to incorporate the residual value into the short-term regression model, so here is the ECM regression estimate: </w:t>
      </w:r>
    </w:p>
    <w:p w14:paraId="70D826C3" w14:textId="77777777" w:rsidR="003453FC" w:rsidRPr="00F34A91" w:rsidRDefault="003453FC" w:rsidP="005B2B99">
      <w:pPr>
        <w:ind w:firstLine="567"/>
        <w:jc w:val="both"/>
        <w:rPr>
          <w:rFonts w:eastAsiaTheme="minorEastAsia"/>
        </w:rPr>
      </w:pPr>
    </w:p>
    <w:p w14:paraId="7A15D755" w14:textId="255C16B1" w:rsidR="00C945A6" w:rsidRPr="00F34A91" w:rsidRDefault="00C945A6" w:rsidP="00C945A6">
      <w:pPr>
        <w:jc w:val="center"/>
        <w:rPr>
          <w:rFonts w:eastAsiaTheme="minorEastAsia"/>
          <w:b/>
          <w:bCs/>
        </w:rPr>
      </w:pPr>
      <w:r w:rsidRPr="00F34A91">
        <w:rPr>
          <w:rFonts w:eastAsiaTheme="minorEastAsia"/>
          <w:b/>
          <w:bCs/>
        </w:rPr>
        <w:lastRenderedPageBreak/>
        <w:t>Tab</w:t>
      </w:r>
      <w:r w:rsidR="00837B9E">
        <w:rPr>
          <w:rFonts w:eastAsiaTheme="minorEastAsia"/>
          <w:b/>
          <w:bCs/>
        </w:rPr>
        <w:t>le</w:t>
      </w:r>
      <w:r w:rsidRPr="00F34A91">
        <w:rPr>
          <w:rFonts w:eastAsiaTheme="minorEastAsia"/>
          <w:b/>
          <w:bCs/>
        </w:rPr>
        <w:t xml:space="preserve"> </w:t>
      </w:r>
      <w:r w:rsidR="00554714">
        <w:rPr>
          <w:rFonts w:eastAsiaTheme="minorEastAsia"/>
          <w:b/>
          <w:bCs/>
        </w:rPr>
        <w:t>5</w:t>
      </w:r>
      <w:r w:rsidRPr="00F34A91">
        <w:rPr>
          <w:rFonts w:eastAsiaTheme="minorEastAsia"/>
          <w:b/>
          <w:bCs/>
        </w:rPr>
        <w:t xml:space="preserve">. Estimasi Jangka Pendek -ECM </w:t>
      </w:r>
    </w:p>
    <w:tbl>
      <w:tblPr>
        <w:tblW w:w="5620" w:type="dxa"/>
        <w:jc w:val="center"/>
        <w:tblLook w:val="04A0" w:firstRow="1" w:lastRow="0" w:firstColumn="1" w:lastColumn="0" w:noHBand="0" w:noVBand="1"/>
      </w:tblPr>
      <w:tblGrid>
        <w:gridCol w:w="1342"/>
        <w:gridCol w:w="1738"/>
        <w:gridCol w:w="1220"/>
        <w:gridCol w:w="1363"/>
      </w:tblGrid>
      <w:tr w:rsidR="00C945A6" w:rsidRPr="00B9460E" w14:paraId="534BF4AD" w14:textId="77777777" w:rsidTr="0034260C">
        <w:trPr>
          <w:trHeight w:val="280"/>
          <w:jc w:val="center"/>
        </w:trPr>
        <w:tc>
          <w:tcPr>
            <w:tcW w:w="3080" w:type="dxa"/>
            <w:gridSpan w:val="2"/>
            <w:tcBorders>
              <w:top w:val="single" w:sz="4" w:space="0" w:color="auto"/>
              <w:left w:val="nil"/>
              <w:bottom w:val="single" w:sz="4" w:space="0" w:color="auto"/>
              <w:right w:val="nil"/>
            </w:tcBorders>
            <w:shd w:val="clear" w:color="auto" w:fill="auto"/>
            <w:noWrap/>
            <w:vAlign w:val="bottom"/>
            <w:hideMark/>
          </w:tcPr>
          <w:p w14:paraId="32F2DFCD" w14:textId="77777777" w:rsidR="00C945A6" w:rsidRPr="00B9460E" w:rsidRDefault="00C945A6" w:rsidP="0034260C">
            <w:pPr>
              <w:rPr>
                <w:color w:val="000000"/>
                <w:lang w:eastAsia="en-ID"/>
              </w:rPr>
            </w:pPr>
            <w:bookmarkStart w:id="1" w:name="_Hlk169293259"/>
            <w:r w:rsidRPr="00B9460E">
              <w:rPr>
                <w:color w:val="000000"/>
                <w:lang w:eastAsia="en-ID"/>
              </w:rPr>
              <w:t>Variabel dependen: MS</w:t>
            </w:r>
          </w:p>
        </w:tc>
        <w:tc>
          <w:tcPr>
            <w:tcW w:w="1220" w:type="dxa"/>
            <w:tcBorders>
              <w:top w:val="single" w:sz="4" w:space="0" w:color="auto"/>
              <w:left w:val="nil"/>
              <w:bottom w:val="single" w:sz="4" w:space="0" w:color="auto"/>
              <w:right w:val="nil"/>
            </w:tcBorders>
            <w:shd w:val="clear" w:color="auto" w:fill="auto"/>
            <w:noWrap/>
            <w:vAlign w:val="bottom"/>
            <w:hideMark/>
          </w:tcPr>
          <w:p w14:paraId="2A808222" w14:textId="77777777" w:rsidR="00C945A6" w:rsidRPr="00B9460E" w:rsidRDefault="00C945A6" w:rsidP="0034260C">
            <w:pPr>
              <w:rPr>
                <w:color w:val="000000"/>
                <w:lang w:eastAsia="en-ID"/>
              </w:rPr>
            </w:pPr>
            <w:r w:rsidRPr="00B9460E">
              <w:rPr>
                <w:color w:val="000000"/>
                <w:lang w:eastAsia="en-ID"/>
              </w:rPr>
              <w:t> </w:t>
            </w:r>
          </w:p>
        </w:tc>
        <w:tc>
          <w:tcPr>
            <w:tcW w:w="1320" w:type="dxa"/>
            <w:tcBorders>
              <w:top w:val="single" w:sz="4" w:space="0" w:color="auto"/>
              <w:left w:val="nil"/>
              <w:bottom w:val="single" w:sz="4" w:space="0" w:color="auto"/>
              <w:right w:val="nil"/>
            </w:tcBorders>
            <w:shd w:val="clear" w:color="auto" w:fill="auto"/>
            <w:noWrap/>
            <w:vAlign w:val="bottom"/>
            <w:hideMark/>
          </w:tcPr>
          <w:p w14:paraId="1F0D10D8" w14:textId="77777777" w:rsidR="00C945A6" w:rsidRPr="00B9460E" w:rsidRDefault="00C945A6" w:rsidP="0034260C">
            <w:pPr>
              <w:rPr>
                <w:color w:val="000000"/>
                <w:lang w:eastAsia="en-ID"/>
              </w:rPr>
            </w:pPr>
            <w:r w:rsidRPr="00B9460E">
              <w:rPr>
                <w:color w:val="000000"/>
                <w:lang w:eastAsia="en-ID"/>
              </w:rPr>
              <w:t> </w:t>
            </w:r>
          </w:p>
        </w:tc>
      </w:tr>
      <w:tr w:rsidR="00C945A6" w:rsidRPr="00B9460E" w14:paraId="6CE330A7" w14:textId="77777777" w:rsidTr="0034260C">
        <w:trPr>
          <w:trHeight w:val="280"/>
          <w:jc w:val="center"/>
        </w:trPr>
        <w:tc>
          <w:tcPr>
            <w:tcW w:w="1342" w:type="dxa"/>
            <w:tcBorders>
              <w:top w:val="nil"/>
              <w:left w:val="nil"/>
              <w:bottom w:val="single" w:sz="4" w:space="0" w:color="auto"/>
              <w:right w:val="nil"/>
            </w:tcBorders>
            <w:shd w:val="clear" w:color="auto" w:fill="auto"/>
            <w:noWrap/>
            <w:vAlign w:val="bottom"/>
            <w:hideMark/>
          </w:tcPr>
          <w:p w14:paraId="23F67242" w14:textId="77777777" w:rsidR="00C945A6" w:rsidRPr="00B9460E" w:rsidRDefault="00C945A6" w:rsidP="0034260C">
            <w:pPr>
              <w:jc w:val="center"/>
              <w:rPr>
                <w:color w:val="000000"/>
                <w:lang w:eastAsia="en-ID"/>
              </w:rPr>
            </w:pPr>
            <w:r w:rsidRPr="00B9460E">
              <w:rPr>
                <w:color w:val="000000"/>
                <w:lang w:eastAsia="en-ID"/>
              </w:rPr>
              <w:t>Variabel</w:t>
            </w:r>
          </w:p>
        </w:tc>
        <w:tc>
          <w:tcPr>
            <w:tcW w:w="1738" w:type="dxa"/>
            <w:tcBorders>
              <w:top w:val="nil"/>
              <w:left w:val="nil"/>
              <w:bottom w:val="single" w:sz="4" w:space="0" w:color="auto"/>
              <w:right w:val="nil"/>
            </w:tcBorders>
            <w:shd w:val="clear" w:color="auto" w:fill="auto"/>
            <w:noWrap/>
            <w:vAlign w:val="bottom"/>
            <w:hideMark/>
          </w:tcPr>
          <w:p w14:paraId="408A068C" w14:textId="77777777" w:rsidR="00C945A6" w:rsidRPr="00B9460E" w:rsidRDefault="00C945A6" w:rsidP="0034260C">
            <w:pPr>
              <w:jc w:val="center"/>
              <w:rPr>
                <w:color w:val="000000"/>
                <w:lang w:eastAsia="en-ID"/>
              </w:rPr>
            </w:pPr>
            <w:r w:rsidRPr="00B9460E">
              <w:rPr>
                <w:color w:val="000000"/>
                <w:lang w:eastAsia="en-ID"/>
              </w:rPr>
              <w:t>Coefficient</w:t>
            </w:r>
          </w:p>
        </w:tc>
        <w:tc>
          <w:tcPr>
            <w:tcW w:w="1220" w:type="dxa"/>
            <w:tcBorders>
              <w:top w:val="nil"/>
              <w:left w:val="nil"/>
              <w:bottom w:val="single" w:sz="4" w:space="0" w:color="auto"/>
              <w:right w:val="nil"/>
            </w:tcBorders>
            <w:shd w:val="clear" w:color="auto" w:fill="auto"/>
            <w:noWrap/>
            <w:vAlign w:val="bottom"/>
            <w:hideMark/>
          </w:tcPr>
          <w:p w14:paraId="0A2A0806" w14:textId="77777777" w:rsidR="00C945A6" w:rsidRPr="00B9460E" w:rsidRDefault="00C945A6" w:rsidP="0034260C">
            <w:pPr>
              <w:jc w:val="center"/>
              <w:rPr>
                <w:color w:val="000000"/>
                <w:lang w:eastAsia="en-ID"/>
              </w:rPr>
            </w:pPr>
            <w:r w:rsidRPr="00B9460E">
              <w:rPr>
                <w:color w:val="000000"/>
                <w:lang w:eastAsia="en-ID"/>
              </w:rPr>
              <w:t>t-Statistic</w:t>
            </w:r>
          </w:p>
        </w:tc>
        <w:tc>
          <w:tcPr>
            <w:tcW w:w="1320" w:type="dxa"/>
            <w:tcBorders>
              <w:top w:val="nil"/>
              <w:left w:val="nil"/>
              <w:bottom w:val="single" w:sz="4" w:space="0" w:color="auto"/>
              <w:right w:val="nil"/>
            </w:tcBorders>
            <w:shd w:val="clear" w:color="auto" w:fill="auto"/>
            <w:noWrap/>
            <w:vAlign w:val="bottom"/>
            <w:hideMark/>
          </w:tcPr>
          <w:p w14:paraId="09827585" w14:textId="77777777" w:rsidR="00C945A6" w:rsidRPr="00B9460E" w:rsidRDefault="00C945A6" w:rsidP="0034260C">
            <w:pPr>
              <w:jc w:val="center"/>
              <w:rPr>
                <w:color w:val="000000"/>
                <w:lang w:eastAsia="en-ID"/>
              </w:rPr>
            </w:pPr>
            <w:r w:rsidRPr="00B9460E">
              <w:rPr>
                <w:color w:val="000000"/>
                <w:lang w:eastAsia="en-ID"/>
              </w:rPr>
              <w:t>Probabilitas</w:t>
            </w:r>
          </w:p>
        </w:tc>
      </w:tr>
      <w:tr w:rsidR="00C945A6" w:rsidRPr="00B9460E" w14:paraId="7F5CE8E7" w14:textId="77777777" w:rsidTr="0034260C">
        <w:trPr>
          <w:trHeight w:val="280"/>
          <w:jc w:val="center"/>
        </w:trPr>
        <w:tc>
          <w:tcPr>
            <w:tcW w:w="1342" w:type="dxa"/>
            <w:tcBorders>
              <w:top w:val="nil"/>
              <w:left w:val="nil"/>
              <w:bottom w:val="nil"/>
              <w:right w:val="nil"/>
            </w:tcBorders>
            <w:shd w:val="clear" w:color="auto" w:fill="auto"/>
            <w:noWrap/>
            <w:vAlign w:val="bottom"/>
            <w:hideMark/>
          </w:tcPr>
          <w:p w14:paraId="62CE5F7E" w14:textId="77777777" w:rsidR="00C945A6" w:rsidRPr="00B9460E" w:rsidRDefault="00C945A6" w:rsidP="0034260C">
            <w:pPr>
              <w:rPr>
                <w:color w:val="000000"/>
                <w:lang w:eastAsia="en-ID"/>
              </w:rPr>
            </w:pPr>
            <w:r w:rsidRPr="00B9460E">
              <w:rPr>
                <w:color w:val="000000"/>
                <w:lang w:eastAsia="en-ID"/>
              </w:rPr>
              <w:t>C</w:t>
            </w:r>
          </w:p>
        </w:tc>
        <w:tc>
          <w:tcPr>
            <w:tcW w:w="1738" w:type="dxa"/>
            <w:tcBorders>
              <w:top w:val="nil"/>
              <w:left w:val="nil"/>
              <w:bottom w:val="nil"/>
              <w:right w:val="nil"/>
            </w:tcBorders>
            <w:shd w:val="clear" w:color="auto" w:fill="auto"/>
            <w:noWrap/>
            <w:vAlign w:val="bottom"/>
            <w:hideMark/>
          </w:tcPr>
          <w:p w14:paraId="2232431C" w14:textId="77777777" w:rsidR="00C945A6" w:rsidRPr="00B9460E" w:rsidRDefault="00C945A6" w:rsidP="0034260C">
            <w:pPr>
              <w:jc w:val="right"/>
              <w:rPr>
                <w:color w:val="000000"/>
                <w:lang w:eastAsia="en-ID"/>
              </w:rPr>
            </w:pPr>
            <w:r w:rsidRPr="00B9460E">
              <w:rPr>
                <w:color w:val="000000"/>
                <w:lang w:eastAsia="en-ID"/>
              </w:rPr>
              <w:t>-0</w:t>
            </w:r>
            <w:r>
              <w:rPr>
                <w:color w:val="000000"/>
                <w:lang w:eastAsia="en-ID"/>
              </w:rPr>
              <w:t>.</w:t>
            </w:r>
            <w:r w:rsidRPr="00B9460E">
              <w:rPr>
                <w:color w:val="000000"/>
                <w:lang w:eastAsia="en-ID"/>
              </w:rPr>
              <w:t>035167</w:t>
            </w:r>
          </w:p>
        </w:tc>
        <w:tc>
          <w:tcPr>
            <w:tcW w:w="1220" w:type="dxa"/>
            <w:tcBorders>
              <w:top w:val="nil"/>
              <w:left w:val="nil"/>
              <w:bottom w:val="nil"/>
              <w:right w:val="nil"/>
            </w:tcBorders>
            <w:shd w:val="clear" w:color="auto" w:fill="auto"/>
            <w:noWrap/>
            <w:vAlign w:val="bottom"/>
            <w:hideMark/>
          </w:tcPr>
          <w:p w14:paraId="7D4556F2" w14:textId="77777777" w:rsidR="00C945A6" w:rsidRPr="00B9460E" w:rsidRDefault="00C945A6" w:rsidP="0034260C">
            <w:pPr>
              <w:jc w:val="right"/>
              <w:rPr>
                <w:color w:val="000000"/>
                <w:lang w:eastAsia="en-ID"/>
              </w:rPr>
            </w:pPr>
            <w:r w:rsidRPr="00B9460E">
              <w:rPr>
                <w:color w:val="000000"/>
                <w:lang w:eastAsia="en-ID"/>
              </w:rPr>
              <w:t>-0</w:t>
            </w:r>
            <w:r>
              <w:rPr>
                <w:color w:val="000000"/>
                <w:lang w:eastAsia="en-ID"/>
              </w:rPr>
              <w:t>.</w:t>
            </w:r>
            <w:r w:rsidRPr="00B9460E">
              <w:rPr>
                <w:color w:val="000000"/>
                <w:lang w:eastAsia="en-ID"/>
              </w:rPr>
              <w:t>048221</w:t>
            </w:r>
          </w:p>
        </w:tc>
        <w:tc>
          <w:tcPr>
            <w:tcW w:w="1320" w:type="dxa"/>
            <w:tcBorders>
              <w:top w:val="nil"/>
              <w:left w:val="nil"/>
              <w:bottom w:val="nil"/>
              <w:right w:val="nil"/>
            </w:tcBorders>
            <w:shd w:val="clear" w:color="auto" w:fill="auto"/>
            <w:noWrap/>
            <w:vAlign w:val="bottom"/>
            <w:hideMark/>
          </w:tcPr>
          <w:p w14:paraId="68257095" w14:textId="77777777" w:rsidR="00C945A6" w:rsidRPr="00B9460E" w:rsidRDefault="00C945A6" w:rsidP="0034260C">
            <w:pPr>
              <w:jc w:val="right"/>
              <w:rPr>
                <w:color w:val="000000"/>
                <w:lang w:eastAsia="en-ID"/>
              </w:rPr>
            </w:pPr>
            <w:r w:rsidRPr="00B9460E">
              <w:rPr>
                <w:color w:val="000000"/>
                <w:lang w:eastAsia="en-ID"/>
              </w:rPr>
              <w:t>0</w:t>
            </w:r>
            <w:r>
              <w:rPr>
                <w:color w:val="000000"/>
                <w:lang w:eastAsia="en-ID"/>
              </w:rPr>
              <w:t>.</w:t>
            </w:r>
            <w:r w:rsidRPr="00B9460E">
              <w:rPr>
                <w:color w:val="000000"/>
                <w:lang w:eastAsia="en-ID"/>
              </w:rPr>
              <w:t>962</w:t>
            </w:r>
            <w:r>
              <w:rPr>
                <w:color w:val="000000"/>
                <w:lang w:eastAsia="en-ID"/>
              </w:rPr>
              <w:t>0</w:t>
            </w:r>
          </w:p>
        </w:tc>
      </w:tr>
      <w:tr w:rsidR="00C945A6" w:rsidRPr="00B9460E" w14:paraId="1A39BBF1" w14:textId="77777777" w:rsidTr="0034260C">
        <w:trPr>
          <w:trHeight w:val="280"/>
          <w:jc w:val="center"/>
        </w:trPr>
        <w:tc>
          <w:tcPr>
            <w:tcW w:w="1342" w:type="dxa"/>
            <w:tcBorders>
              <w:top w:val="nil"/>
              <w:left w:val="nil"/>
              <w:bottom w:val="nil"/>
              <w:right w:val="nil"/>
            </w:tcBorders>
            <w:shd w:val="clear" w:color="auto" w:fill="auto"/>
            <w:noWrap/>
            <w:vAlign w:val="bottom"/>
            <w:hideMark/>
          </w:tcPr>
          <w:p w14:paraId="2A5FF1E3" w14:textId="77777777" w:rsidR="00C945A6" w:rsidRPr="00B9460E" w:rsidRDefault="00C945A6" w:rsidP="0034260C">
            <w:pPr>
              <w:rPr>
                <w:color w:val="000000"/>
                <w:lang w:eastAsia="en-ID"/>
              </w:rPr>
            </w:pPr>
            <w:r w:rsidRPr="00B9460E">
              <w:rPr>
                <w:color w:val="000000"/>
                <w:lang w:eastAsia="en-ID"/>
              </w:rPr>
              <w:t>D(ER)</w:t>
            </w:r>
          </w:p>
        </w:tc>
        <w:tc>
          <w:tcPr>
            <w:tcW w:w="1738" w:type="dxa"/>
            <w:tcBorders>
              <w:top w:val="nil"/>
              <w:left w:val="nil"/>
              <w:bottom w:val="nil"/>
              <w:right w:val="nil"/>
            </w:tcBorders>
            <w:shd w:val="clear" w:color="auto" w:fill="auto"/>
            <w:noWrap/>
            <w:vAlign w:val="bottom"/>
            <w:hideMark/>
          </w:tcPr>
          <w:p w14:paraId="3DCF50A1" w14:textId="77777777" w:rsidR="00C945A6" w:rsidRPr="00B9460E" w:rsidRDefault="00C945A6" w:rsidP="0034260C">
            <w:pPr>
              <w:jc w:val="right"/>
              <w:rPr>
                <w:color w:val="000000"/>
                <w:lang w:eastAsia="en-ID"/>
              </w:rPr>
            </w:pPr>
            <w:r w:rsidRPr="00B9460E">
              <w:rPr>
                <w:color w:val="000000"/>
                <w:lang w:eastAsia="en-ID"/>
              </w:rPr>
              <w:t>-0</w:t>
            </w:r>
            <w:r>
              <w:rPr>
                <w:color w:val="000000"/>
                <w:lang w:eastAsia="en-ID"/>
              </w:rPr>
              <w:t>.</w:t>
            </w:r>
            <w:r w:rsidRPr="00B9460E">
              <w:rPr>
                <w:color w:val="000000"/>
                <w:lang w:eastAsia="en-ID"/>
              </w:rPr>
              <w:t>001176</w:t>
            </w:r>
          </w:p>
        </w:tc>
        <w:tc>
          <w:tcPr>
            <w:tcW w:w="1220" w:type="dxa"/>
            <w:tcBorders>
              <w:top w:val="nil"/>
              <w:left w:val="nil"/>
              <w:bottom w:val="nil"/>
              <w:right w:val="nil"/>
            </w:tcBorders>
            <w:shd w:val="clear" w:color="auto" w:fill="auto"/>
            <w:noWrap/>
            <w:vAlign w:val="bottom"/>
            <w:hideMark/>
          </w:tcPr>
          <w:p w14:paraId="55550F0C" w14:textId="77777777" w:rsidR="00C945A6" w:rsidRPr="00B9460E" w:rsidRDefault="00C945A6" w:rsidP="0034260C">
            <w:pPr>
              <w:jc w:val="right"/>
              <w:rPr>
                <w:color w:val="000000"/>
                <w:lang w:eastAsia="en-ID"/>
              </w:rPr>
            </w:pPr>
            <w:r w:rsidRPr="00B9460E">
              <w:rPr>
                <w:color w:val="000000"/>
                <w:lang w:eastAsia="en-ID"/>
              </w:rPr>
              <w:t>-1</w:t>
            </w:r>
            <w:r>
              <w:rPr>
                <w:color w:val="000000"/>
                <w:lang w:eastAsia="en-ID"/>
              </w:rPr>
              <w:t>.</w:t>
            </w:r>
            <w:r w:rsidRPr="00B9460E">
              <w:rPr>
                <w:color w:val="000000"/>
                <w:lang w:eastAsia="en-ID"/>
              </w:rPr>
              <w:t>368812</w:t>
            </w:r>
          </w:p>
        </w:tc>
        <w:tc>
          <w:tcPr>
            <w:tcW w:w="1320" w:type="dxa"/>
            <w:tcBorders>
              <w:top w:val="nil"/>
              <w:left w:val="nil"/>
              <w:bottom w:val="nil"/>
              <w:right w:val="nil"/>
            </w:tcBorders>
            <w:shd w:val="clear" w:color="auto" w:fill="auto"/>
            <w:noWrap/>
            <w:vAlign w:val="bottom"/>
            <w:hideMark/>
          </w:tcPr>
          <w:p w14:paraId="3B2F220A" w14:textId="77777777" w:rsidR="00C945A6" w:rsidRPr="00B9460E" w:rsidRDefault="00C945A6" w:rsidP="0034260C">
            <w:pPr>
              <w:jc w:val="right"/>
              <w:rPr>
                <w:color w:val="000000"/>
                <w:lang w:eastAsia="en-ID"/>
              </w:rPr>
            </w:pPr>
            <w:r w:rsidRPr="00B9460E">
              <w:rPr>
                <w:color w:val="000000"/>
                <w:lang w:eastAsia="en-ID"/>
              </w:rPr>
              <w:t>0</w:t>
            </w:r>
            <w:r>
              <w:rPr>
                <w:color w:val="000000"/>
                <w:lang w:eastAsia="en-ID"/>
              </w:rPr>
              <w:t>.</w:t>
            </w:r>
            <w:r w:rsidRPr="00B9460E">
              <w:rPr>
                <w:color w:val="000000"/>
                <w:lang w:eastAsia="en-ID"/>
              </w:rPr>
              <w:t>1855</w:t>
            </w:r>
          </w:p>
        </w:tc>
      </w:tr>
      <w:tr w:rsidR="00C945A6" w:rsidRPr="00B9460E" w14:paraId="2EF86066" w14:textId="77777777" w:rsidTr="0034260C">
        <w:trPr>
          <w:trHeight w:val="280"/>
          <w:jc w:val="center"/>
        </w:trPr>
        <w:tc>
          <w:tcPr>
            <w:tcW w:w="1342" w:type="dxa"/>
            <w:tcBorders>
              <w:top w:val="nil"/>
              <w:left w:val="nil"/>
              <w:bottom w:val="nil"/>
              <w:right w:val="nil"/>
            </w:tcBorders>
            <w:shd w:val="clear" w:color="auto" w:fill="auto"/>
            <w:noWrap/>
            <w:vAlign w:val="bottom"/>
            <w:hideMark/>
          </w:tcPr>
          <w:p w14:paraId="33EBCC04" w14:textId="77777777" w:rsidR="00C945A6" w:rsidRPr="00B9460E" w:rsidRDefault="00C945A6" w:rsidP="0034260C">
            <w:pPr>
              <w:rPr>
                <w:color w:val="000000"/>
                <w:lang w:eastAsia="en-ID"/>
              </w:rPr>
            </w:pPr>
            <w:r w:rsidRPr="00B9460E">
              <w:rPr>
                <w:color w:val="000000"/>
                <w:lang w:eastAsia="en-ID"/>
              </w:rPr>
              <w:t>D(FDI)</w:t>
            </w:r>
          </w:p>
        </w:tc>
        <w:tc>
          <w:tcPr>
            <w:tcW w:w="1738" w:type="dxa"/>
            <w:tcBorders>
              <w:top w:val="nil"/>
              <w:left w:val="nil"/>
              <w:bottom w:val="nil"/>
              <w:right w:val="nil"/>
            </w:tcBorders>
            <w:shd w:val="clear" w:color="auto" w:fill="auto"/>
            <w:noWrap/>
            <w:vAlign w:val="bottom"/>
            <w:hideMark/>
          </w:tcPr>
          <w:p w14:paraId="77FE8985" w14:textId="77777777" w:rsidR="00C945A6" w:rsidRPr="00B9460E" w:rsidRDefault="00C945A6" w:rsidP="0034260C">
            <w:pPr>
              <w:jc w:val="right"/>
              <w:rPr>
                <w:color w:val="000000"/>
                <w:lang w:eastAsia="en-ID"/>
              </w:rPr>
            </w:pPr>
            <w:r w:rsidRPr="00B9460E">
              <w:rPr>
                <w:color w:val="000000"/>
                <w:lang w:eastAsia="en-ID"/>
              </w:rPr>
              <w:t>1</w:t>
            </w:r>
            <w:r>
              <w:rPr>
                <w:color w:val="000000"/>
                <w:lang w:eastAsia="en-ID"/>
              </w:rPr>
              <w:t>.</w:t>
            </w:r>
            <w:r w:rsidRPr="00B9460E">
              <w:rPr>
                <w:color w:val="000000"/>
                <w:lang w:eastAsia="en-ID"/>
              </w:rPr>
              <w:t>113972</w:t>
            </w:r>
          </w:p>
        </w:tc>
        <w:tc>
          <w:tcPr>
            <w:tcW w:w="1220" w:type="dxa"/>
            <w:tcBorders>
              <w:top w:val="nil"/>
              <w:left w:val="nil"/>
              <w:bottom w:val="nil"/>
              <w:right w:val="nil"/>
            </w:tcBorders>
            <w:shd w:val="clear" w:color="auto" w:fill="auto"/>
            <w:noWrap/>
            <w:vAlign w:val="bottom"/>
            <w:hideMark/>
          </w:tcPr>
          <w:p w14:paraId="7AEEABDF" w14:textId="77777777" w:rsidR="00C945A6" w:rsidRPr="00B9460E" w:rsidRDefault="00C945A6" w:rsidP="0034260C">
            <w:pPr>
              <w:jc w:val="right"/>
              <w:rPr>
                <w:color w:val="000000"/>
                <w:lang w:eastAsia="en-ID"/>
              </w:rPr>
            </w:pPr>
            <w:r w:rsidRPr="00B9460E">
              <w:rPr>
                <w:color w:val="000000"/>
                <w:lang w:eastAsia="en-ID"/>
              </w:rPr>
              <w:t>1</w:t>
            </w:r>
            <w:r>
              <w:rPr>
                <w:color w:val="000000"/>
                <w:lang w:eastAsia="en-ID"/>
              </w:rPr>
              <w:t>.</w:t>
            </w:r>
            <w:r w:rsidRPr="00B9460E">
              <w:rPr>
                <w:color w:val="000000"/>
                <w:lang w:eastAsia="en-ID"/>
              </w:rPr>
              <w:t>608365</w:t>
            </w:r>
          </w:p>
        </w:tc>
        <w:tc>
          <w:tcPr>
            <w:tcW w:w="1320" w:type="dxa"/>
            <w:tcBorders>
              <w:top w:val="nil"/>
              <w:left w:val="nil"/>
              <w:bottom w:val="nil"/>
              <w:right w:val="nil"/>
            </w:tcBorders>
            <w:shd w:val="clear" w:color="auto" w:fill="auto"/>
            <w:noWrap/>
            <w:vAlign w:val="bottom"/>
            <w:hideMark/>
          </w:tcPr>
          <w:p w14:paraId="31449441" w14:textId="77777777" w:rsidR="00C945A6" w:rsidRPr="00B9460E" w:rsidRDefault="00C945A6" w:rsidP="0034260C">
            <w:pPr>
              <w:jc w:val="right"/>
              <w:rPr>
                <w:color w:val="000000"/>
                <w:lang w:eastAsia="en-ID"/>
              </w:rPr>
            </w:pPr>
            <w:r w:rsidRPr="00B9460E">
              <w:rPr>
                <w:color w:val="000000"/>
                <w:lang w:eastAsia="en-ID"/>
              </w:rPr>
              <w:t>0</w:t>
            </w:r>
            <w:r>
              <w:rPr>
                <w:color w:val="000000"/>
                <w:lang w:eastAsia="en-ID"/>
              </w:rPr>
              <w:t>.</w:t>
            </w:r>
            <w:r w:rsidRPr="00B9460E">
              <w:rPr>
                <w:color w:val="000000"/>
                <w:lang w:eastAsia="en-ID"/>
              </w:rPr>
              <w:t>1227</w:t>
            </w:r>
          </w:p>
        </w:tc>
      </w:tr>
      <w:tr w:rsidR="00C945A6" w:rsidRPr="00B9460E" w14:paraId="03A71CF0" w14:textId="77777777" w:rsidTr="0034260C">
        <w:trPr>
          <w:trHeight w:val="280"/>
          <w:jc w:val="center"/>
        </w:trPr>
        <w:tc>
          <w:tcPr>
            <w:tcW w:w="1342" w:type="dxa"/>
            <w:tcBorders>
              <w:top w:val="nil"/>
              <w:left w:val="nil"/>
              <w:bottom w:val="nil"/>
              <w:right w:val="nil"/>
            </w:tcBorders>
            <w:shd w:val="clear" w:color="auto" w:fill="auto"/>
            <w:noWrap/>
            <w:vAlign w:val="bottom"/>
            <w:hideMark/>
          </w:tcPr>
          <w:p w14:paraId="0996FA48" w14:textId="77777777" w:rsidR="00C945A6" w:rsidRPr="00B9460E" w:rsidRDefault="00C945A6" w:rsidP="0034260C">
            <w:pPr>
              <w:rPr>
                <w:color w:val="000000"/>
                <w:lang w:eastAsia="en-ID"/>
              </w:rPr>
            </w:pPr>
            <w:r w:rsidRPr="00B9460E">
              <w:rPr>
                <w:color w:val="000000"/>
                <w:lang w:eastAsia="en-ID"/>
              </w:rPr>
              <w:t>D(GDP)</w:t>
            </w:r>
          </w:p>
        </w:tc>
        <w:tc>
          <w:tcPr>
            <w:tcW w:w="1738" w:type="dxa"/>
            <w:tcBorders>
              <w:top w:val="nil"/>
              <w:left w:val="nil"/>
              <w:bottom w:val="nil"/>
              <w:right w:val="nil"/>
            </w:tcBorders>
            <w:shd w:val="clear" w:color="auto" w:fill="auto"/>
            <w:noWrap/>
            <w:vAlign w:val="bottom"/>
            <w:hideMark/>
          </w:tcPr>
          <w:p w14:paraId="000C4BBD" w14:textId="77777777" w:rsidR="00C945A6" w:rsidRPr="00B9460E" w:rsidRDefault="00C945A6" w:rsidP="0034260C">
            <w:pPr>
              <w:jc w:val="right"/>
              <w:rPr>
                <w:color w:val="000000"/>
                <w:lang w:eastAsia="en-ID"/>
              </w:rPr>
            </w:pPr>
            <w:r w:rsidRPr="00B9460E">
              <w:rPr>
                <w:color w:val="000000"/>
                <w:lang w:eastAsia="en-ID"/>
              </w:rPr>
              <w:t>-1</w:t>
            </w:r>
            <w:r>
              <w:rPr>
                <w:color w:val="000000"/>
                <w:lang w:eastAsia="en-ID"/>
              </w:rPr>
              <w:t>.</w:t>
            </w:r>
            <w:r w:rsidRPr="00B9460E">
              <w:rPr>
                <w:color w:val="000000"/>
                <w:lang w:eastAsia="en-ID"/>
              </w:rPr>
              <w:t>570852</w:t>
            </w:r>
          </w:p>
        </w:tc>
        <w:tc>
          <w:tcPr>
            <w:tcW w:w="1220" w:type="dxa"/>
            <w:tcBorders>
              <w:top w:val="nil"/>
              <w:left w:val="nil"/>
              <w:bottom w:val="nil"/>
              <w:right w:val="nil"/>
            </w:tcBorders>
            <w:shd w:val="clear" w:color="auto" w:fill="auto"/>
            <w:noWrap/>
            <w:vAlign w:val="bottom"/>
            <w:hideMark/>
          </w:tcPr>
          <w:p w14:paraId="72C2523F" w14:textId="77777777" w:rsidR="00C945A6" w:rsidRPr="00B9460E" w:rsidRDefault="00C945A6" w:rsidP="0034260C">
            <w:pPr>
              <w:jc w:val="right"/>
              <w:rPr>
                <w:color w:val="000000"/>
                <w:lang w:eastAsia="en-ID"/>
              </w:rPr>
            </w:pPr>
            <w:r w:rsidRPr="00B9460E">
              <w:rPr>
                <w:color w:val="000000"/>
                <w:lang w:eastAsia="en-ID"/>
              </w:rPr>
              <w:t>-4</w:t>
            </w:r>
            <w:r>
              <w:rPr>
                <w:color w:val="000000"/>
                <w:lang w:eastAsia="en-ID"/>
              </w:rPr>
              <w:t>.</w:t>
            </w:r>
            <w:r w:rsidRPr="00B9460E">
              <w:rPr>
                <w:color w:val="000000"/>
                <w:lang w:eastAsia="en-ID"/>
              </w:rPr>
              <w:t>861160</w:t>
            </w:r>
          </w:p>
        </w:tc>
        <w:tc>
          <w:tcPr>
            <w:tcW w:w="1320" w:type="dxa"/>
            <w:tcBorders>
              <w:top w:val="nil"/>
              <w:left w:val="nil"/>
              <w:bottom w:val="nil"/>
              <w:right w:val="nil"/>
            </w:tcBorders>
            <w:shd w:val="clear" w:color="auto" w:fill="auto"/>
            <w:noWrap/>
            <w:vAlign w:val="bottom"/>
            <w:hideMark/>
          </w:tcPr>
          <w:p w14:paraId="23DA2AC2" w14:textId="77777777" w:rsidR="00C945A6" w:rsidRPr="00B9460E" w:rsidRDefault="00C945A6" w:rsidP="0034260C">
            <w:pPr>
              <w:jc w:val="right"/>
              <w:rPr>
                <w:color w:val="000000"/>
                <w:lang w:eastAsia="en-ID"/>
              </w:rPr>
            </w:pPr>
            <w:r w:rsidRPr="00B9460E">
              <w:rPr>
                <w:color w:val="000000"/>
                <w:lang w:eastAsia="en-ID"/>
              </w:rPr>
              <w:t>0</w:t>
            </w:r>
            <w:r>
              <w:rPr>
                <w:color w:val="000000"/>
                <w:lang w:eastAsia="en-ID"/>
              </w:rPr>
              <w:t>.</w:t>
            </w:r>
            <w:r w:rsidRPr="00B9460E">
              <w:rPr>
                <w:color w:val="000000"/>
                <w:lang w:eastAsia="en-ID"/>
              </w:rPr>
              <w:t>0001</w:t>
            </w:r>
          </w:p>
        </w:tc>
      </w:tr>
      <w:tr w:rsidR="00C945A6" w:rsidRPr="00B9460E" w14:paraId="7486AFB2" w14:textId="77777777" w:rsidTr="0034260C">
        <w:trPr>
          <w:trHeight w:val="280"/>
          <w:jc w:val="center"/>
        </w:trPr>
        <w:tc>
          <w:tcPr>
            <w:tcW w:w="1342" w:type="dxa"/>
            <w:tcBorders>
              <w:top w:val="nil"/>
              <w:left w:val="nil"/>
              <w:bottom w:val="nil"/>
              <w:right w:val="nil"/>
            </w:tcBorders>
            <w:shd w:val="clear" w:color="auto" w:fill="auto"/>
            <w:noWrap/>
            <w:vAlign w:val="bottom"/>
            <w:hideMark/>
          </w:tcPr>
          <w:p w14:paraId="3D0DC91A" w14:textId="77777777" w:rsidR="00C945A6" w:rsidRPr="00B9460E" w:rsidRDefault="00C945A6" w:rsidP="0034260C">
            <w:pPr>
              <w:rPr>
                <w:color w:val="000000"/>
                <w:lang w:eastAsia="en-ID"/>
              </w:rPr>
            </w:pPr>
            <w:r w:rsidRPr="00B9460E">
              <w:rPr>
                <w:color w:val="000000"/>
                <w:lang w:eastAsia="en-ID"/>
              </w:rPr>
              <w:t>D(GE)</w:t>
            </w:r>
          </w:p>
        </w:tc>
        <w:tc>
          <w:tcPr>
            <w:tcW w:w="1738" w:type="dxa"/>
            <w:tcBorders>
              <w:top w:val="nil"/>
              <w:left w:val="nil"/>
              <w:bottom w:val="nil"/>
              <w:right w:val="nil"/>
            </w:tcBorders>
            <w:shd w:val="clear" w:color="auto" w:fill="auto"/>
            <w:noWrap/>
            <w:vAlign w:val="bottom"/>
            <w:hideMark/>
          </w:tcPr>
          <w:p w14:paraId="54E8C0D6" w14:textId="77777777" w:rsidR="00C945A6" w:rsidRPr="00B9460E" w:rsidRDefault="00C945A6" w:rsidP="0034260C">
            <w:pPr>
              <w:jc w:val="right"/>
              <w:rPr>
                <w:color w:val="000000"/>
                <w:lang w:eastAsia="en-ID"/>
              </w:rPr>
            </w:pPr>
            <w:r w:rsidRPr="00B9460E">
              <w:rPr>
                <w:color w:val="000000"/>
                <w:lang w:eastAsia="en-ID"/>
              </w:rPr>
              <w:t>-1</w:t>
            </w:r>
            <w:r>
              <w:rPr>
                <w:color w:val="000000"/>
                <w:lang w:eastAsia="en-ID"/>
              </w:rPr>
              <w:t>.</w:t>
            </w:r>
            <w:r w:rsidRPr="00B9460E">
              <w:rPr>
                <w:color w:val="000000"/>
                <w:lang w:eastAsia="en-ID"/>
              </w:rPr>
              <w:t>693207</w:t>
            </w:r>
          </w:p>
        </w:tc>
        <w:tc>
          <w:tcPr>
            <w:tcW w:w="1220" w:type="dxa"/>
            <w:tcBorders>
              <w:top w:val="nil"/>
              <w:left w:val="nil"/>
              <w:bottom w:val="nil"/>
              <w:right w:val="nil"/>
            </w:tcBorders>
            <w:shd w:val="clear" w:color="auto" w:fill="auto"/>
            <w:noWrap/>
            <w:vAlign w:val="bottom"/>
            <w:hideMark/>
          </w:tcPr>
          <w:p w14:paraId="003ABC25" w14:textId="77777777" w:rsidR="00C945A6" w:rsidRPr="00B9460E" w:rsidRDefault="00C945A6" w:rsidP="0034260C">
            <w:pPr>
              <w:jc w:val="right"/>
              <w:rPr>
                <w:color w:val="000000"/>
                <w:lang w:eastAsia="en-ID"/>
              </w:rPr>
            </w:pPr>
            <w:r w:rsidRPr="00B9460E">
              <w:rPr>
                <w:color w:val="000000"/>
                <w:lang w:eastAsia="en-ID"/>
              </w:rPr>
              <w:t>-1</w:t>
            </w:r>
            <w:r>
              <w:rPr>
                <w:color w:val="000000"/>
                <w:lang w:eastAsia="en-ID"/>
              </w:rPr>
              <w:t>.</w:t>
            </w:r>
            <w:r w:rsidRPr="00B9460E">
              <w:rPr>
                <w:color w:val="000000"/>
                <w:lang w:eastAsia="en-ID"/>
              </w:rPr>
              <w:t>242803</w:t>
            </w:r>
          </w:p>
        </w:tc>
        <w:tc>
          <w:tcPr>
            <w:tcW w:w="1320" w:type="dxa"/>
            <w:tcBorders>
              <w:top w:val="nil"/>
              <w:left w:val="nil"/>
              <w:bottom w:val="nil"/>
              <w:right w:val="nil"/>
            </w:tcBorders>
            <w:shd w:val="clear" w:color="auto" w:fill="auto"/>
            <w:noWrap/>
            <w:vAlign w:val="bottom"/>
            <w:hideMark/>
          </w:tcPr>
          <w:p w14:paraId="68508838" w14:textId="77777777" w:rsidR="00C945A6" w:rsidRPr="00B9460E" w:rsidRDefault="00C945A6" w:rsidP="0034260C">
            <w:pPr>
              <w:jc w:val="right"/>
              <w:rPr>
                <w:color w:val="000000"/>
                <w:lang w:eastAsia="en-ID"/>
              </w:rPr>
            </w:pPr>
            <w:r w:rsidRPr="00B9460E">
              <w:rPr>
                <w:color w:val="000000"/>
                <w:lang w:eastAsia="en-ID"/>
              </w:rPr>
              <w:t>0</w:t>
            </w:r>
            <w:r>
              <w:rPr>
                <w:color w:val="000000"/>
                <w:lang w:eastAsia="en-ID"/>
              </w:rPr>
              <w:t>.</w:t>
            </w:r>
            <w:r w:rsidRPr="00B9460E">
              <w:rPr>
                <w:color w:val="000000"/>
                <w:lang w:eastAsia="en-ID"/>
              </w:rPr>
              <w:t>2276</w:t>
            </w:r>
          </w:p>
        </w:tc>
      </w:tr>
      <w:tr w:rsidR="00C945A6" w:rsidRPr="00B9460E" w14:paraId="57EFC493" w14:textId="77777777" w:rsidTr="0034260C">
        <w:trPr>
          <w:trHeight w:val="280"/>
          <w:jc w:val="center"/>
        </w:trPr>
        <w:tc>
          <w:tcPr>
            <w:tcW w:w="1342" w:type="dxa"/>
            <w:tcBorders>
              <w:top w:val="nil"/>
              <w:left w:val="nil"/>
              <w:bottom w:val="nil"/>
              <w:right w:val="nil"/>
            </w:tcBorders>
            <w:shd w:val="clear" w:color="auto" w:fill="auto"/>
            <w:noWrap/>
            <w:vAlign w:val="bottom"/>
            <w:hideMark/>
          </w:tcPr>
          <w:p w14:paraId="6E0F48B5" w14:textId="77777777" w:rsidR="00C945A6" w:rsidRPr="00B9460E" w:rsidRDefault="00C945A6" w:rsidP="0034260C">
            <w:pPr>
              <w:rPr>
                <w:color w:val="000000"/>
                <w:lang w:eastAsia="en-ID"/>
              </w:rPr>
            </w:pPr>
            <w:r w:rsidRPr="00B9460E">
              <w:rPr>
                <w:color w:val="000000"/>
                <w:lang w:eastAsia="en-ID"/>
              </w:rPr>
              <w:t>D(INF)</w:t>
            </w:r>
          </w:p>
        </w:tc>
        <w:tc>
          <w:tcPr>
            <w:tcW w:w="1738" w:type="dxa"/>
            <w:tcBorders>
              <w:top w:val="nil"/>
              <w:left w:val="nil"/>
              <w:bottom w:val="nil"/>
              <w:right w:val="nil"/>
            </w:tcBorders>
            <w:shd w:val="clear" w:color="auto" w:fill="auto"/>
            <w:noWrap/>
            <w:vAlign w:val="bottom"/>
            <w:hideMark/>
          </w:tcPr>
          <w:p w14:paraId="5B652A22" w14:textId="77777777" w:rsidR="00C945A6" w:rsidRPr="00B9460E" w:rsidRDefault="00C945A6" w:rsidP="0034260C">
            <w:pPr>
              <w:jc w:val="right"/>
              <w:rPr>
                <w:color w:val="000000"/>
                <w:lang w:eastAsia="en-ID"/>
              </w:rPr>
            </w:pPr>
            <w:r w:rsidRPr="00B9460E">
              <w:rPr>
                <w:color w:val="000000"/>
                <w:lang w:eastAsia="en-ID"/>
              </w:rPr>
              <w:t>-0</w:t>
            </w:r>
            <w:r>
              <w:rPr>
                <w:color w:val="000000"/>
                <w:lang w:eastAsia="en-ID"/>
              </w:rPr>
              <w:t>.</w:t>
            </w:r>
            <w:r w:rsidRPr="00B9460E">
              <w:rPr>
                <w:color w:val="000000"/>
                <w:lang w:eastAsia="en-ID"/>
              </w:rPr>
              <w:t>031865</w:t>
            </w:r>
          </w:p>
        </w:tc>
        <w:tc>
          <w:tcPr>
            <w:tcW w:w="1220" w:type="dxa"/>
            <w:tcBorders>
              <w:top w:val="nil"/>
              <w:left w:val="nil"/>
              <w:bottom w:val="nil"/>
              <w:right w:val="nil"/>
            </w:tcBorders>
            <w:shd w:val="clear" w:color="auto" w:fill="auto"/>
            <w:noWrap/>
            <w:vAlign w:val="bottom"/>
            <w:hideMark/>
          </w:tcPr>
          <w:p w14:paraId="530E4739" w14:textId="77777777" w:rsidR="00C945A6" w:rsidRPr="00B9460E" w:rsidRDefault="00C945A6" w:rsidP="0034260C">
            <w:pPr>
              <w:jc w:val="right"/>
              <w:rPr>
                <w:color w:val="000000"/>
                <w:lang w:eastAsia="en-ID"/>
              </w:rPr>
            </w:pPr>
            <w:r w:rsidRPr="00B9460E">
              <w:rPr>
                <w:color w:val="000000"/>
                <w:lang w:eastAsia="en-ID"/>
              </w:rPr>
              <w:t>-0</w:t>
            </w:r>
            <w:r>
              <w:rPr>
                <w:color w:val="000000"/>
                <w:lang w:eastAsia="en-ID"/>
              </w:rPr>
              <w:t>.</w:t>
            </w:r>
            <w:r w:rsidRPr="00B9460E">
              <w:rPr>
                <w:color w:val="000000"/>
                <w:lang w:eastAsia="en-ID"/>
              </w:rPr>
              <w:t>222379</w:t>
            </w:r>
          </w:p>
        </w:tc>
        <w:tc>
          <w:tcPr>
            <w:tcW w:w="1320" w:type="dxa"/>
            <w:tcBorders>
              <w:top w:val="nil"/>
              <w:left w:val="nil"/>
              <w:bottom w:val="nil"/>
              <w:right w:val="nil"/>
            </w:tcBorders>
            <w:shd w:val="clear" w:color="auto" w:fill="auto"/>
            <w:noWrap/>
            <w:vAlign w:val="bottom"/>
            <w:hideMark/>
          </w:tcPr>
          <w:p w14:paraId="65CF2C9F" w14:textId="77777777" w:rsidR="00C945A6" w:rsidRPr="00B9460E" w:rsidRDefault="00C945A6" w:rsidP="0034260C">
            <w:pPr>
              <w:jc w:val="right"/>
              <w:rPr>
                <w:color w:val="000000"/>
                <w:lang w:eastAsia="en-ID"/>
              </w:rPr>
            </w:pPr>
            <w:r w:rsidRPr="00B9460E">
              <w:rPr>
                <w:color w:val="000000"/>
                <w:lang w:eastAsia="en-ID"/>
              </w:rPr>
              <w:t>0</w:t>
            </w:r>
            <w:r>
              <w:rPr>
                <w:color w:val="000000"/>
                <w:lang w:eastAsia="en-ID"/>
              </w:rPr>
              <w:t>.</w:t>
            </w:r>
            <w:r w:rsidRPr="00B9460E">
              <w:rPr>
                <w:color w:val="000000"/>
                <w:lang w:eastAsia="en-ID"/>
              </w:rPr>
              <w:t>8262</w:t>
            </w:r>
          </w:p>
        </w:tc>
      </w:tr>
      <w:tr w:rsidR="00C945A6" w:rsidRPr="00B9460E" w14:paraId="774326F7" w14:textId="77777777" w:rsidTr="0034260C">
        <w:trPr>
          <w:trHeight w:val="280"/>
          <w:jc w:val="center"/>
        </w:trPr>
        <w:tc>
          <w:tcPr>
            <w:tcW w:w="1342" w:type="dxa"/>
            <w:tcBorders>
              <w:top w:val="nil"/>
              <w:left w:val="nil"/>
              <w:bottom w:val="nil"/>
              <w:right w:val="nil"/>
            </w:tcBorders>
            <w:shd w:val="clear" w:color="auto" w:fill="auto"/>
            <w:noWrap/>
            <w:vAlign w:val="bottom"/>
            <w:hideMark/>
          </w:tcPr>
          <w:p w14:paraId="24551C10" w14:textId="77777777" w:rsidR="00C945A6" w:rsidRPr="00B9460E" w:rsidRDefault="00C945A6" w:rsidP="0034260C">
            <w:pPr>
              <w:rPr>
                <w:color w:val="000000"/>
                <w:lang w:eastAsia="en-ID"/>
              </w:rPr>
            </w:pPr>
            <w:r w:rsidRPr="00B9460E">
              <w:rPr>
                <w:color w:val="000000"/>
                <w:lang w:eastAsia="en-ID"/>
              </w:rPr>
              <w:t>D(IR)</w:t>
            </w:r>
          </w:p>
        </w:tc>
        <w:tc>
          <w:tcPr>
            <w:tcW w:w="1738" w:type="dxa"/>
            <w:tcBorders>
              <w:top w:val="nil"/>
              <w:left w:val="nil"/>
              <w:bottom w:val="nil"/>
              <w:right w:val="nil"/>
            </w:tcBorders>
            <w:shd w:val="clear" w:color="auto" w:fill="auto"/>
            <w:noWrap/>
            <w:vAlign w:val="bottom"/>
            <w:hideMark/>
          </w:tcPr>
          <w:p w14:paraId="7022516D" w14:textId="77777777" w:rsidR="00C945A6" w:rsidRPr="00B9460E" w:rsidRDefault="00C945A6" w:rsidP="0034260C">
            <w:pPr>
              <w:jc w:val="right"/>
              <w:rPr>
                <w:color w:val="000000"/>
                <w:lang w:eastAsia="en-ID"/>
              </w:rPr>
            </w:pPr>
            <w:r w:rsidRPr="00B9460E">
              <w:rPr>
                <w:color w:val="000000"/>
                <w:lang w:eastAsia="en-ID"/>
              </w:rPr>
              <w:t>-0</w:t>
            </w:r>
            <w:r>
              <w:rPr>
                <w:color w:val="000000"/>
                <w:lang w:eastAsia="en-ID"/>
              </w:rPr>
              <w:t>.</w:t>
            </w:r>
            <w:r w:rsidRPr="00B9460E">
              <w:rPr>
                <w:color w:val="000000"/>
                <w:lang w:eastAsia="en-ID"/>
              </w:rPr>
              <w:t>638361</w:t>
            </w:r>
          </w:p>
        </w:tc>
        <w:tc>
          <w:tcPr>
            <w:tcW w:w="1220" w:type="dxa"/>
            <w:tcBorders>
              <w:top w:val="nil"/>
              <w:left w:val="nil"/>
              <w:bottom w:val="nil"/>
              <w:right w:val="nil"/>
            </w:tcBorders>
            <w:shd w:val="clear" w:color="auto" w:fill="auto"/>
            <w:noWrap/>
            <w:vAlign w:val="bottom"/>
            <w:hideMark/>
          </w:tcPr>
          <w:p w14:paraId="6F9AA49A" w14:textId="77777777" w:rsidR="00C945A6" w:rsidRPr="00B9460E" w:rsidRDefault="00C945A6" w:rsidP="0034260C">
            <w:pPr>
              <w:jc w:val="right"/>
              <w:rPr>
                <w:color w:val="000000"/>
                <w:lang w:eastAsia="en-ID"/>
              </w:rPr>
            </w:pPr>
            <w:r w:rsidRPr="00B9460E">
              <w:rPr>
                <w:color w:val="000000"/>
                <w:lang w:eastAsia="en-ID"/>
              </w:rPr>
              <w:t>-6</w:t>
            </w:r>
            <w:r>
              <w:rPr>
                <w:color w:val="000000"/>
                <w:lang w:eastAsia="en-ID"/>
              </w:rPr>
              <w:t>.</w:t>
            </w:r>
            <w:r w:rsidRPr="00B9460E">
              <w:rPr>
                <w:color w:val="000000"/>
                <w:lang w:eastAsia="en-ID"/>
              </w:rPr>
              <w:t>401132</w:t>
            </w:r>
          </w:p>
        </w:tc>
        <w:tc>
          <w:tcPr>
            <w:tcW w:w="1320" w:type="dxa"/>
            <w:tcBorders>
              <w:top w:val="nil"/>
              <w:left w:val="nil"/>
              <w:bottom w:val="nil"/>
              <w:right w:val="nil"/>
            </w:tcBorders>
            <w:shd w:val="clear" w:color="auto" w:fill="auto"/>
            <w:noWrap/>
            <w:vAlign w:val="bottom"/>
            <w:hideMark/>
          </w:tcPr>
          <w:p w14:paraId="1AA99844" w14:textId="77777777" w:rsidR="00C945A6" w:rsidRPr="00B9460E" w:rsidRDefault="00C945A6" w:rsidP="0034260C">
            <w:pPr>
              <w:jc w:val="right"/>
              <w:rPr>
                <w:color w:val="000000"/>
                <w:lang w:eastAsia="en-ID"/>
              </w:rPr>
            </w:pPr>
            <w:r w:rsidRPr="00B9460E">
              <w:rPr>
                <w:color w:val="000000"/>
                <w:lang w:eastAsia="en-ID"/>
              </w:rPr>
              <w:t>0</w:t>
            </w:r>
            <w:r>
              <w:rPr>
                <w:color w:val="000000"/>
                <w:lang w:eastAsia="en-ID"/>
              </w:rPr>
              <w:t>.</w:t>
            </w:r>
            <w:r w:rsidRPr="00B9460E">
              <w:rPr>
                <w:color w:val="000000"/>
                <w:lang w:eastAsia="en-ID"/>
              </w:rPr>
              <w:t>0000</w:t>
            </w:r>
          </w:p>
        </w:tc>
      </w:tr>
      <w:tr w:rsidR="00C945A6" w:rsidRPr="00B9460E" w14:paraId="2496D644" w14:textId="77777777" w:rsidTr="0034260C">
        <w:trPr>
          <w:trHeight w:val="280"/>
          <w:jc w:val="center"/>
        </w:trPr>
        <w:tc>
          <w:tcPr>
            <w:tcW w:w="1342" w:type="dxa"/>
            <w:tcBorders>
              <w:top w:val="nil"/>
              <w:left w:val="nil"/>
              <w:bottom w:val="single" w:sz="4" w:space="0" w:color="auto"/>
              <w:right w:val="nil"/>
            </w:tcBorders>
            <w:shd w:val="clear" w:color="auto" w:fill="auto"/>
            <w:noWrap/>
            <w:vAlign w:val="bottom"/>
            <w:hideMark/>
          </w:tcPr>
          <w:p w14:paraId="663ACFC2" w14:textId="77777777" w:rsidR="00C945A6" w:rsidRPr="00B9460E" w:rsidRDefault="00C945A6" w:rsidP="0034260C">
            <w:pPr>
              <w:rPr>
                <w:color w:val="000000"/>
                <w:lang w:eastAsia="en-ID"/>
              </w:rPr>
            </w:pPr>
            <w:r w:rsidRPr="00B9460E">
              <w:rPr>
                <w:color w:val="000000"/>
                <w:lang w:eastAsia="en-ID"/>
              </w:rPr>
              <w:t>ECT(-1)</w:t>
            </w:r>
          </w:p>
        </w:tc>
        <w:tc>
          <w:tcPr>
            <w:tcW w:w="1738" w:type="dxa"/>
            <w:tcBorders>
              <w:top w:val="nil"/>
              <w:left w:val="nil"/>
              <w:bottom w:val="single" w:sz="4" w:space="0" w:color="auto"/>
              <w:right w:val="nil"/>
            </w:tcBorders>
            <w:shd w:val="clear" w:color="auto" w:fill="auto"/>
            <w:noWrap/>
            <w:vAlign w:val="bottom"/>
            <w:hideMark/>
          </w:tcPr>
          <w:p w14:paraId="79413365" w14:textId="77777777" w:rsidR="00C945A6" w:rsidRPr="00B9460E" w:rsidRDefault="00C945A6" w:rsidP="0034260C">
            <w:pPr>
              <w:jc w:val="right"/>
              <w:rPr>
                <w:color w:val="000000"/>
                <w:lang w:eastAsia="en-ID"/>
              </w:rPr>
            </w:pPr>
            <w:r w:rsidRPr="00B9460E">
              <w:rPr>
                <w:color w:val="000000"/>
                <w:lang w:eastAsia="en-ID"/>
              </w:rPr>
              <w:t>-0</w:t>
            </w:r>
            <w:r>
              <w:rPr>
                <w:color w:val="000000"/>
                <w:lang w:eastAsia="en-ID"/>
              </w:rPr>
              <w:t>.</w:t>
            </w:r>
            <w:r w:rsidRPr="00B9460E">
              <w:rPr>
                <w:color w:val="000000"/>
                <w:lang w:eastAsia="en-ID"/>
              </w:rPr>
              <w:t>974551</w:t>
            </w:r>
          </w:p>
        </w:tc>
        <w:tc>
          <w:tcPr>
            <w:tcW w:w="1220" w:type="dxa"/>
            <w:tcBorders>
              <w:top w:val="nil"/>
              <w:left w:val="nil"/>
              <w:bottom w:val="single" w:sz="4" w:space="0" w:color="auto"/>
              <w:right w:val="nil"/>
            </w:tcBorders>
            <w:shd w:val="clear" w:color="auto" w:fill="auto"/>
            <w:noWrap/>
            <w:vAlign w:val="bottom"/>
            <w:hideMark/>
          </w:tcPr>
          <w:p w14:paraId="555D9570" w14:textId="77777777" w:rsidR="00C945A6" w:rsidRPr="00B9460E" w:rsidRDefault="00C945A6" w:rsidP="0034260C">
            <w:pPr>
              <w:jc w:val="right"/>
              <w:rPr>
                <w:color w:val="000000"/>
                <w:lang w:eastAsia="en-ID"/>
              </w:rPr>
            </w:pPr>
            <w:r w:rsidRPr="00B9460E">
              <w:rPr>
                <w:color w:val="000000"/>
                <w:lang w:eastAsia="en-ID"/>
              </w:rPr>
              <w:t>-4</w:t>
            </w:r>
            <w:r>
              <w:rPr>
                <w:color w:val="000000"/>
                <w:lang w:eastAsia="en-ID"/>
              </w:rPr>
              <w:t>.</w:t>
            </w:r>
            <w:r w:rsidRPr="00B9460E">
              <w:rPr>
                <w:color w:val="000000"/>
                <w:lang w:eastAsia="en-ID"/>
              </w:rPr>
              <w:t>839760</w:t>
            </w:r>
          </w:p>
        </w:tc>
        <w:tc>
          <w:tcPr>
            <w:tcW w:w="1320" w:type="dxa"/>
            <w:tcBorders>
              <w:top w:val="nil"/>
              <w:left w:val="nil"/>
              <w:bottom w:val="single" w:sz="4" w:space="0" w:color="auto"/>
              <w:right w:val="nil"/>
            </w:tcBorders>
            <w:shd w:val="clear" w:color="auto" w:fill="auto"/>
            <w:noWrap/>
            <w:vAlign w:val="bottom"/>
            <w:hideMark/>
          </w:tcPr>
          <w:p w14:paraId="023ACB53" w14:textId="77777777" w:rsidR="00C945A6" w:rsidRPr="00B9460E" w:rsidRDefault="00C945A6" w:rsidP="0034260C">
            <w:pPr>
              <w:jc w:val="right"/>
              <w:rPr>
                <w:color w:val="000000"/>
                <w:lang w:eastAsia="en-ID"/>
              </w:rPr>
            </w:pPr>
            <w:r w:rsidRPr="00B9460E">
              <w:rPr>
                <w:color w:val="000000"/>
                <w:lang w:eastAsia="en-ID"/>
              </w:rPr>
              <w:t>0</w:t>
            </w:r>
            <w:r>
              <w:rPr>
                <w:color w:val="000000"/>
                <w:lang w:eastAsia="en-ID"/>
              </w:rPr>
              <w:t>.</w:t>
            </w:r>
            <w:r w:rsidRPr="00B9460E">
              <w:rPr>
                <w:color w:val="000000"/>
                <w:lang w:eastAsia="en-ID"/>
              </w:rPr>
              <w:t>0001</w:t>
            </w:r>
          </w:p>
        </w:tc>
      </w:tr>
    </w:tbl>
    <w:bookmarkEnd w:id="1"/>
    <w:p w14:paraId="57DDB2A0" w14:textId="2DB42848" w:rsidR="006E4EB2" w:rsidRPr="005B2B99" w:rsidRDefault="00C945A6" w:rsidP="005B2B99">
      <w:pPr>
        <w:jc w:val="both"/>
        <w:rPr>
          <w:rFonts w:eastAsiaTheme="minorEastAsia"/>
          <w:i/>
          <w:iCs/>
        </w:rPr>
      </w:pPr>
      <w:r>
        <w:rPr>
          <w:rFonts w:eastAsiaTheme="minorEastAsia"/>
        </w:rPr>
        <w:tab/>
      </w:r>
      <w:r w:rsidR="005B2B99" w:rsidRPr="000810C4">
        <w:rPr>
          <w:rFonts w:eastAsiaTheme="minorEastAsia"/>
          <w:i/>
          <w:iCs/>
        </w:rPr>
        <w:t xml:space="preserve">Source: data processed using </w:t>
      </w:r>
      <w:proofErr w:type="spellStart"/>
      <w:r w:rsidR="005B2B99" w:rsidRPr="000810C4">
        <w:rPr>
          <w:rFonts w:eastAsiaTheme="minorEastAsia"/>
          <w:i/>
          <w:iCs/>
        </w:rPr>
        <w:t>Eviews</w:t>
      </w:r>
      <w:proofErr w:type="spellEnd"/>
      <w:r w:rsidR="005B2B99" w:rsidRPr="000810C4">
        <w:rPr>
          <w:rFonts w:eastAsiaTheme="minorEastAsia"/>
          <w:i/>
          <w:iCs/>
        </w:rPr>
        <w:t xml:space="preserve"> 12</w:t>
      </w:r>
    </w:p>
    <w:p w14:paraId="094C6850" w14:textId="3B85E8AC" w:rsidR="005B2B99" w:rsidRPr="00F34A91" w:rsidRDefault="005B2B99" w:rsidP="00F01CA3">
      <w:pPr>
        <w:ind w:firstLine="567"/>
        <w:jc w:val="both"/>
        <w:rPr>
          <w:rFonts w:eastAsiaTheme="minorEastAsia"/>
        </w:rPr>
      </w:pPr>
      <w:r w:rsidRPr="00F34A91">
        <w:rPr>
          <w:rFonts w:eastAsiaTheme="minorEastAsia"/>
        </w:rPr>
        <w:t>Referring to the results</w:t>
      </w:r>
      <w:r w:rsidRPr="00F34A91">
        <w:rPr>
          <w:rFonts w:eastAsiaTheme="minorEastAsia"/>
          <w:i/>
          <w:iCs/>
        </w:rPr>
        <w:t xml:space="preserve"> of the short-term Error Correction Model </w:t>
      </w:r>
      <w:r w:rsidRPr="00F34A91">
        <w:rPr>
          <w:rFonts w:eastAsiaTheme="minorEastAsia"/>
        </w:rPr>
        <w:t xml:space="preserve">test in </w:t>
      </w:r>
      <w:r w:rsidR="007D517E">
        <w:rPr>
          <w:rFonts w:eastAsiaTheme="minorEastAsia"/>
        </w:rPr>
        <w:t>T</w:t>
      </w:r>
      <w:r w:rsidRPr="00F34A91">
        <w:rPr>
          <w:rFonts w:eastAsiaTheme="minorEastAsia"/>
        </w:rPr>
        <w:t>able 5 above, the regression coefficient obtained can be written as a regression as follows:</w:t>
      </w:r>
    </w:p>
    <w:p w14:paraId="28233796" w14:textId="77777777" w:rsidR="00C945A6" w:rsidRPr="00F34A91" w:rsidRDefault="004C472D" w:rsidP="00C945A6">
      <w:pPr>
        <w:jc w:val="both"/>
        <w:rPr>
          <w:rFonts w:eastAsiaTheme="minorEastAsia"/>
        </w:rPr>
      </w:pPr>
      <m:oMath>
        <m:sSub>
          <m:sSubPr>
            <m:ctrlPr>
              <w:rPr>
                <w:rFonts w:ascii="Cambria Math" w:eastAsiaTheme="minorEastAsia" w:hAnsi="Cambria Math"/>
                <w:i/>
              </w:rPr>
            </m:ctrlPr>
          </m:sSubPr>
          <m:e>
            <m:r>
              <w:rPr>
                <w:rFonts w:ascii="Cambria Math" w:eastAsiaTheme="minorEastAsia" w:hAnsi="Cambria Math"/>
              </w:rPr>
              <m:t>D</m:t>
            </m:r>
            <m:r>
              <w:rPr>
                <w:rFonts w:ascii="Cambria Math" w:eastAsiaTheme="minorEastAsia" w:hAnsi="Cambria Math"/>
              </w:rPr>
              <m:t>(</m:t>
            </m:r>
            <m:r>
              <w:rPr>
                <w:rFonts w:ascii="Cambria Math" w:eastAsiaTheme="minorEastAsia" w:hAnsi="Cambria Math"/>
              </w:rPr>
              <m:t>MS</m:t>
            </m:r>
            <m:r>
              <w:rPr>
                <w:rFonts w:ascii="Cambria Math" w:eastAsiaTheme="minorEastAsia" w:hAnsi="Cambria Math"/>
              </w:rPr>
              <m:t>)</m:t>
            </m:r>
          </m:e>
          <m:sub>
            <m:r>
              <w:rPr>
                <w:rFonts w:ascii="Cambria Math" w:eastAsiaTheme="minorEastAsia" w:hAnsi="Cambria Math"/>
              </w:rPr>
              <m:t>t</m:t>
            </m:r>
          </m:sub>
        </m:sSub>
        <m:r>
          <w:rPr>
            <w:rFonts w:ascii="Cambria Math" w:eastAsiaTheme="minorEastAsia" w:hAnsi="Cambria Math"/>
          </w:rPr>
          <m:t>=-0.035167+</m:t>
        </m:r>
        <m:sSub>
          <m:sSubPr>
            <m:ctrlPr>
              <w:rPr>
                <w:rFonts w:ascii="Cambria Math" w:eastAsiaTheme="minorEastAsia" w:hAnsi="Cambria Math"/>
                <w:i/>
              </w:rPr>
            </m:ctrlPr>
          </m:sSubPr>
          <m:e>
            <m:r>
              <w:rPr>
                <w:rFonts w:ascii="Cambria Math" w:eastAsiaTheme="minorEastAsia" w:hAnsi="Cambria Math"/>
              </w:rPr>
              <m:t>-</m:t>
            </m:r>
            <m:r>
              <w:rPr>
                <w:rFonts w:ascii="Cambria Math" w:eastAsiaTheme="minorEastAsia" w:hAnsi="Cambria Math"/>
              </w:rPr>
              <m:t>0.00</m:t>
            </m:r>
            <m:r>
              <w:rPr>
                <w:rFonts w:ascii="Cambria Math" w:eastAsiaTheme="minorEastAsia" w:hAnsi="Cambria Math"/>
              </w:rPr>
              <m:t>D</m:t>
            </m:r>
            <m:d>
              <m:dPr>
                <m:ctrlPr>
                  <w:rPr>
                    <w:rFonts w:ascii="Cambria Math" w:eastAsiaTheme="minorEastAsia" w:hAnsi="Cambria Math"/>
                    <w:i/>
                  </w:rPr>
                </m:ctrlPr>
              </m:dPr>
              <m:e>
                <m:r>
                  <w:rPr>
                    <w:rFonts w:ascii="Cambria Math" w:eastAsiaTheme="minorEastAsia" w:hAnsi="Cambria Math"/>
                  </w:rPr>
                  <m:t>ER</m:t>
                </m:r>
              </m:e>
            </m:d>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1.11</m:t>
            </m:r>
            <m:r>
              <w:rPr>
                <w:rFonts w:ascii="Cambria Math" w:eastAsiaTheme="minorEastAsia" w:hAnsi="Cambria Math"/>
              </w:rPr>
              <m:t>D</m:t>
            </m:r>
            <m:d>
              <m:dPr>
                <m:ctrlPr>
                  <w:rPr>
                    <w:rFonts w:ascii="Cambria Math" w:eastAsiaTheme="minorEastAsia" w:hAnsi="Cambria Math"/>
                    <w:i/>
                  </w:rPr>
                </m:ctrlPr>
              </m:dPr>
              <m:e>
                <m:r>
                  <w:rPr>
                    <w:rFonts w:ascii="Cambria Math" w:eastAsiaTheme="minorEastAsia" w:hAnsi="Cambria Math"/>
                  </w:rPr>
                  <m:t>FDI</m:t>
                </m:r>
              </m:e>
            </m:d>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m:t>
            </m:r>
            <m:r>
              <w:rPr>
                <w:rFonts w:ascii="Cambria Math" w:eastAsiaTheme="minorEastAsia" w:hAnsi="Cambria Math"/>
              </w:rPr>
              <m:t>1.57</m:t>
            </m:r>
            <m:r>
              <w:rPr>
                <w:rFonts w:ascii="Cambria Math" w:eastAsiaTheme="minorEastAsia" w:hAnsi="Cambria Math"/>
              </w:rPr>
              <m:t>D</m:t>
            </m:r>
            <m:d>
              <m:dPr>
                <m:ctrlPr>
                  <w:rPr>
                    <w:rFonts w:ascii="Cambria Math" w:eastAsiaTheme="minorEastAsia" w:hAnsi="Cambria Math"/>
                    <w:i/>
                  </w:rPr>
                </m:ctrlPr>
              </m:dPr>
              <m:e>
                <m:r>
                  <w:rPr>
                    <w:rFonts w:ascii="Cambria Math" w:eastAsiaTheme="minorEastAsia" w:hAnsi="Cambria Math"/>
                  </w:rPr>
                  <m:t>GDP</m:t>
                </m:r>
              </m:e>
            </m:d>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m:t>
            </m:r>
            <m:r>
              <w:rPr>
                <w:rFonts w:ascii="Cambria Math" w:eastAsiaTheme="minorEastAsia" w:hAnsi="Cambria Math"/>
              </w:rPr>
              <m:t>1.69</m:t>
            </m:r>
            <m:r>
              <w:rPr>
                <w:rFonts w:ascii="Cambria Math" w:eastAsiaTheme="minorEastAsia" w:hAnsi="Cambria Math"/>
              </w:rPr>
              <m:t>D</m:t>
            </m:r>
            <m:d>
              <m:dPr>
                <m:ctrlPr>
                  <w:rPr>
                    <w:rFonts w:ascii="Cambria Math" w:eastAsiaTheme="minorEastAsia" w:hAnsi="Cambria Math"/>
                    <w:i/>
                  </w:rPr>
                </m:ctrlPr>
              </m:dPr>
              <m:e>
                <m:r>
                  <w:rPr>
                    <w:rFonts w:ascii="Cambria Math" w:eastAsiaTheme="minorEastAsia" w:hAnsi="Cambria Math"/>
                  </w:rPr>
                  <m:t>GE</m:t>
                </m:r>
              </m:e>
            </m:d>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m:t>
            </m:r>
            <m:r>
              <w:rPr>
                <w:rFonts w:ascii="Cambria Math" w:eastAsiaTheme="minorEastAsia" w:hAnsi="Cambria Math"/>
              </w:rPr>
              <m:t>0.03</m:t>
            </m:r>
            <m:r>
              <w:rPr>
                <w:rFonts w:ascii="Cambria Math" w:eastAsiaTheme="minorEastAsia" w:hAnsi="Cambria Math"/>
              </w:rPr>
              <m:t>D</m:t>
            </m:r>
            <m:d>
              <m:dPr>
                <m:ctrlPr>
                  <w:rPr>
                    <w:rFonts w:ascii="Cambria Math" w:eastAsiaTheme="minorEastAsia" w:hAnsi="Cambria Math"/>
                    <w:i/>
                  </w:rPr>
                </m:ctrlPr>
              </m:dPr>
              <m:e>
                <m:r>
                  <w:rPr>
                    <w:rFonts w:ascii="Cambria Math" w:eastAsiaTheme="minorEastAsia" w:hAnsi="Cambria Math"/>
                  </w:rPr>
                  <m:t>INF</m:t>
                </m:r>
              </m:e>
            </m:d>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m:t>
            </m:r>
            <m:r>
              <w:rPr>
                <w:rFonts w:ascii="Cambria Math" w:eastAsiaTheme="minorEastAsia" w:hAnsi="Cambria Math"/>
              </w:rPr>
              <m:t>0.63</m:t>
            </m:r>
            <m:r>
              <w:rPr>
                <w:rFonts w:ascii="Cambria Math" w:eastAsiaTheme="minorEastAsia" w:hAnsi="Cambria Math"/>
              </w:rPr>
              <m:t>D</m:t>
            </m:r>
            <m:d>
              <m:dPr>
                <m:ctrlPr>
                  <w:rPr>
                    <w:rFonts w:ascii="Cambria Math" w:eastAsiaTheme="minorEastAsia" w:hAnsi="Cambria Math"/>
                    <w:i/>
                  </w:rPr>
                </m:ctrlPr>
              </m:dPr>
              <m:e>
                <m:r>
                  <w:rPr>
                    <w:rFonts w:ascii="Cambria Math" w:eastAsiaTheme="minorEastAsia" w:hAnsi="Cambria Math"/>
                  </w:rPr>
                  <m:t>IR</m:t>
                </m:r>
              </m:e>
            </m:d>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m:t>
            </m:r>
            <m:r>
              <w:rPr>
                <w:rFonts w:ascii="Cambria Math" w:eastAsiaTheme="minorEastAsia" w:hAnsi="Cambria Math"/>
              </w:rPr>
              <m:t>097</m:t>
            </m:r>
            <m:r>
              <w:rPr>
                <w:rFonts w:ascii="Cambria Math" w:eastAsiaTheme="minorEastAsia" w:hAnsi="Cambria Math"/>
              </w:rPr>
              <m:t>ECT</m:t>
            </m:r>
          </m:e>
          <m:sub>
            <m:r>
              <w:rPr>
                <w:rFonts w:ascii="Cambria Math" w:eastAsiaTheme="minorEastAsia" w:hAnsi="Cambria Math"/>
              </w:rPr>
              <m:t>t</m:t>
            </m:r>
            <m:r>
              <w:rPr>
                <w:rFonts w:ascii="Cambria Math" w:eastAsiaTheme="minorEastAsia" w:hAnsi="Cambria Math"/>
              </w:rPr>
              <m:t>-</m:t>
            </m:r>
            <m:r>
              <w:rPr>
                <w:rFonts w:ascii="Cambria Math" w:eastAsiaTheme="minorEastAsia" w:hAnsi="Cambria Math"/>
              </w:rPr>
              <m:t>1</m:t>
            </m:r>
          </m:sub>
        </m:sSub>
      </m:oMath>
      <w:r w:rsidR="00C945A6" w:rsidRPr="00F34A91">
        <w:rPr>
          <w:rFonts w:eastAsiaTheme="minorEastAsia"/>
        </w:rPr>
        <w:t xml:space="preserve"> </w:t>
      </w:r>
    </w:p>
    <w:p w14:paraId="468C5129" w14:textId="77777777" w:rsidR="005B2B99" w:rsidRDefault="005B2B99" w:rsidP="009C12A8">
      <w:pPr>
        <w:jc w:val="both"/>
        <w:rPr>
          <w:rFonts w:eastAsiaTheme="minorEastAsia"/>
          <w:b/>
          <w:bCs/>
        </w:rPr>
      </w:pPr>
    </w:p>
    <w:p w14:paraId="1012606C" w14:textId="77777777" w:rsidR="005B2B99" w:rsidRPr="00F34A91" w:rsidRDefault="005B2B99" w:rsidP="009C12A8">
      <w:pPr>
        <w:jc w:val="both"/>
        <w:rPr>
          <w:rFonts w:eastAsiaTheme="minorEastAsia"/>
          <w:b/>
          <w:bCs/>
        </w:rPr>
      </w:pPr>
      <w:r w:rsidRPr="00F34A91">
        <w:rPr>
          <w:rFonts w:eastAsiaTheme="minorEastAsia"/>
          <w:b/>
          <w:bCs/>
        </w:rPr>
        <w:t xml:space="preserve">Classical Assumption Test </w:t>
      </w:r>
    </w:p>
    <w:p w14:paraId="2C09D080" w14:textId="58DF4BB5" w:rsidR="005B2B99" w:rsidRDefault="005B2B99" w:rsidP="009C12A8">
      <w:pPr>
        <w:ind w:firstLine="567"/>
        <w:jc w:val="both"/>
        <w:rPr>
          <w:rFonts w:eastAsiaTheme="minorEastAsia"/>
        </w:rPr>
      </w:pPr>
      <w:r w:rsidRPr="00F34A91">
        <w:rPr>
          <w:rFonts w:eastAsiaTheme="minorEastAsia"/>
        </w:rPr>
        <w:t xml:space="preserve">The </w:t>
      </w:r>
      <w:r w:rsidRPr="002905F5">
        <w:rPr>
          <w:rFonts w:eastAsiaTheme="minorEastAsia"/>
          <w:i/>
          <w:iCs/>
        </w:rPr>
        <w:t>Jarque-Bera</w:t>
      </w:r>
      <w:r w:rsidRPr="00F34A91">
        <w:rPr>
          <w:rFonts w:eastAsiaTheme="minorEastAsia"/>
        </w:rPr>
        <w:t xml:space="preserve"> method will be used to test the distribution of datasets in this study. With df</w:t>
      </w:r>
      <w:r w:rsidR="007D517E">
        <w:rPr>
          <w:rFonts w:eastAsiaTheme="minorEastAsia"/>
        </w:rPr>
        <w:t xml:space="preserve"> </w:t>
      </w:r>
      <w:r w:rsidRPr="00F34A91">
        <w:rPr>
          <w:rFonts w:eastAsiaTheme="minorEastAsia"/>
        </w:rPr>
        <w:t>=</w:t>
      </w:r>
      <w:r w:rsidR="007D517E">
        <w:rPr>
          <w:rFonts w:eastAsiaTheme="minorEastAsia"/>
        </w:rPr>
        <w:t xml:space="preserve"> </w:t>
      </w:r>
      <w:r w:rsidRPr="00F34A91">
        <w:rPr>
          <w:rFonts w:eastAsiaTheme="minorEastAsia"/>
        </w:rPr>
        <w:t>2 and α</w:t>
      </w:r>
      <w:r w:rsidR="007D517E">
        <w:rPr>
          <w:rFonts w:eastAsiaTheme="minorEastAsia"/>
        </w:rPr>
        <w:t xml:space="preserve"> </w:t>
      </w:r>
      <w:r w:rsidRPr="00F34A91">
        <w:rPr>
          <w:rFonts w:eastAsiaTheme="minorEastAsia"/>
        </w:rPr>
        <w:t>=</w:t>
      </w:r>
      <w:r w:rsidR="007D517E">
        <w:rPr>
          <w:rFonts w:eastAsiaTheme="minorEastAsia"/>
        </w:rPr>
        <w:t xml:space="preserve"> </w:t>
      </w:r>
      <w:r w:rsidRPr="00F34A91">
        <w:rPr>
          <w:rFonts w:eastAsiaTheme="minorEastAsia"/>
        </w:rPr>
        <w:t xml:space="preserve">0.05, the value of the Chi-Square table to be used as a reference is 5.99. </w:t>
      </w:r>
    </w:p>
    <w:p w14:paraId="09683C91" w14:textId="7EE84A08" w:rsidR="00837B9E" w:rsidRDefault="00837B9E" w:rsidP="009C12A8">
      <w:pPr>
        <w:ind w:firstLine="567"/>
        <w:jc w:val="both"/>
        <w:rPr>
          <w:rFonts w:eastAsiaTheme="minorEastAsia"/>
        </w:rPr>
      </w:pPr>
    </w:p>
    <w:p w14:paraId="306D206D" w14:textId="77777777" w:rsidR="00837B9E" w:rsidRPr="00F34A91" w:rsidRDefault="00837B9E" w:rsidP="009C12A8">
      <w:pPr>
        <w:ind w:firstLine="567"/>
        <w:jc w:val="both"/>
        <w:rPr>
          <w:rFonts w:eastAsiaTheme="minorEastAsia"/>
        </w:rPr>
      </w:pPr>
    </w:p>
    <w:p w14:paraId="43F5AFC8" w14:textId="77777777" w:rsidR="005B2B99" w:rsidRPr="00F34A91" w:rsidRDefault="005B2B99" w:rsidP="00B3227E">
      <w:pPr>
        <w:jc w:val="center"/>
        <w:rPr>
          <w:rFonts w:eastAsiaTheme="minorEastAsia"/>
          <w:b/>
          <w:bCs/>
        </w:rPr>
      </w:pPr>
      <w:r w:rsidRPr="00F34A91">
        <w:rPr>
          <w:rFonts w:eastAsiaTheme="minorEastAsia"/>
          <w:b/>
          <w:bCs/>
        </w:rPr>
        <w:t xml:space="preserve">Figure 1. Normality Test </w:t>
      </w:r>
    </w:p>
    <w:p w14:paraId="75483B93" w14:textId="77777777" w:rsidR="00C945A6" w:rsidRDefault="00C945A6" w:rsidP="000810C4">
      <w:pPr>
        <w:jc w:val="center"/>
        <w:rPr>
          <w:rFonts w:eastAsiaTheme="minorEastAsia"/>
          <w:b/>
          <w:bCs/>
        </w:rPr>
      </w:pPr>
      <w:r w:rsidRPr="00F34A91">
        <w:rPr>
          <w:b/>
          <w:bCs/>
          <w:noProof/>
        </w:rPr>
        <w:drawing>
          <wp:inline distT="0" distB="0" distL="0" distR="0" wp14:anchorId="20598316" wp14:editId="193AD14F">
            <wp:extent cx="5257800" cy="2351622"/>
            <wp:effectExtent l="0" t="0" r="0" b="0"/>
            <wp:docPr id="4274371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61709" cy="2353370"/>
                    </a:xfrm>
                    <a:prstGeom prst="rect">
                      <a:avLst/>
                    </a:prstGeom>
                    <a:noFill/>
                    <a:ln>
                      <a:noFill/>
                    </a:ln>
                  </pic:spPr>
                </pic:pic>
              </a:graphicData>
            </a:graphic>
          </wp:inline>
        </w:drawing>
      </w:r>
    </w:p>
    <w:p w14:paraId="56E2283F" w14:textId="77777777" w:rsidR="007D517E" w:rsidRPr="000810C4" w:rsidRDefault="007D517E" w:rsidP="00D56303">
      <w:pPr>
        <w:ind w:firstLine="142"/>
        <w:jc w:val="both"/>
        <w:rPr>
          <w:rFonts w:eastAsiaTheme="minorEastAsia"/>
          <w:b/>
          <w:bCs/>
          <w:i/>
          <w:iCs/>
        </w:rPr>
      </w:pPr>
      <w:proofErr w:type="spellStart"/>
      <w:r w:rsidRPr="000810C4">
        <w:rPr>
          <w:rFonts w:eastAsiaTheme="minorEastAsia"/>
          <w:i/>
          <w:iCs/>
        </w:rPr>
        <w:t>Sumber</w:t>
      </w:r>
      <w:proofErr w:type="spellEnd"/>
      <w:r w:rsidRPr="000810C4">
        <w:rPr>
          <w:rFonts w:eastAsiaTheme="minorEastAsia"/>
          <w:i/>
          <w:iCs/>
        </w:rPr>
        <w:t xml:space="preserve">: Output </w:t>
      </w:r>
      <w:proofErr w:type="spellStart"/>
      <w:r w:rsidRPr="000810C4">
        <w:rPr>
          <w:rFonts w:eastAsiaTheme="minorEastAsia"/>
          <w:i/>
          <w:iCs/>
        </w:rPr>
        <w:t>Eviews</w:t>
      </w:r>
      <w:proofErr w:type="spellEnd"/>
      <w:r w:rsidRPr="000810C4">
        <w:rPr>
          <w:rFonts w:eastAsiaTheme="minorEastAsia"/>
          <w:i/>
          <w:iCs/>
        </w:rPr>
        <w:t xml:space="preserve"> 12</w:t>
      </w:r>
    </w:p>
    <w:p w14:paraId="3EA8AC62" w14:textId="77777777" w:rsidR="006E4EB2" w:rsidRDefault="006E4EB2" w:rsidP="000810C4">
      <w:pPr>
        <w:ind w:firstLine="567"/>
        <w:jc w:val="both"/>
        <w:rPr>
          <w:rFonts w:eastAsiaTheme="minorEastAsia"/>
        </w:rPr>
      </w:pPr>
    </w:p>
    <w:p w14:paraId="5668C659" w14:textId="2F5408B1" w:rsidR="006E4EB2" w:rsidRDefault="005B2B99" w:rsidP="00837B9E">
      <w:pPr>
        <w:ind w:firstLine="567"/>
        <w:jc w:val="both"/>
        <w:rPr>
          <w:rFonts w:eastAsiaTheme="minorEastAsia"/>
        </w:rPr>
      </w:pPr>
      <w:r w:rsidRPr="00F34A91">
        <w:rPr>
          <w:rFonts w:eastAsiaTheme="minorEastAsia"/>
        </w:rPr>
        <w:t>Referring to the results</w:t>
      </w:r>
      <w:r w:rsidRPr="00F34A91">
        <w:rPr>
          <w:rFonts w:eastAsiaTheme="minorEastAsia"/>
          <w:i/>
          <w:iCs/>
        </w:rPr>
        <w:t xml:space="preserve"> of the </w:t>
      </w:r>
      <w:proofErr w:type="spellStart"/>
      <w:r w:rsidRPr="00F34A91">
        <w:rPr>
          <w:rFonts w:eastAsiaTheme="minorEastAsia"/>
          <w:i/>
          <w:iCs/>
        </w:rPr>
        <w:t>Jarqure</w:t>
      </w:r>
      <w:proofErr w:type="spellEnd"/>
      <w:r w:rsidRPr="00F34A91">
        <w:rPr>
          <w:rFonts w:eastAsiaTheme="minorEastAsia"/>
          <w:i/>
          <w:iCs/>
        </w:rPr>
        <w:t>-Bera</w:t>
      </w:r>
      <w:r w:rsidRPr="00F34A91">
        <w:rPr>
          <w:rFonts w:eastAsiaTheme="minorEastAsia"/>
        </w:rPr>
        <w:t xml:space="preserve"> test in </w:t>
      </w:r>
      <w:r w:rsidR="007D517E">
        <w:rPr>
          <w:rFonts w:eastAsiaTheme="minorEastAsia"/>
        </w:rPr>
        <w:t>F</w:t>
      </w:r>
      <w:r w:rsidRPr="00F34A91">
        <w:rPr>
          <w:rFonts w:eastAsiaTheme="minorEastAsia"/>
        </w:rPr>
        <w:t xml:space="preserve">igure 1, it is known that the </w:t>
      </w:r>
      <w:proofErr w:type="spellStart"/>
      <w:r w:rsidRPr="00F34A91">
        <w:rPr>
          <w:rFonts w:eastAsiaTheme="minorEastAsia"/>
          <w:i/>
          <w:iCs/>
        </w:rPr>
        <w:t>Jarqure</w:t>
      </w:r>
      <w:proofErr w:type="spellEnd"/>
      <w:r w:rsidRPr="00F34A91">
        <w:rPr>
          <w:rFonts w:eastAsiaTheme="minorEastAsia"/>
          <w:i/>
          <w:iCs/>
        </w:rPr>
        <w:t xml:space="preserve">-Bera </w:t>
      </w:r>
      <w:r w:rsidRPr="00F34A91">
        <w:rPr>
          <w:rFonts w:eastAsiaTheme="minorEastAsia"/>
        </w:rPr>
        <w:t>value of the estimation model is 1.26. This value</w:t>
      </w:r>
      <w:r w:rsidR="007D517E">
        <w:rPr>
          <w:rFonts w:eastAsiaTheme="minorEastAsia"/>
        </w:rPr>
        <w:t xml:space="preserve"> is</w:t>
      </w:r>
      <w:r w:rsidRPr="00F34A91">
        <w:rPr>
          <w:rFonts w:eastAsiaTheme="minorEastAsia"/>
        </w:rPr>
        <w:t xml:space="preserve"> &lt; from </w:t>
      </w:r>
      <w:r w:rsidRPr="000810C4">
        <w:rPr>
          <w:rFonts w:eastAsiaTheme="minorEastAsia"/>
          <w:i/>
          <w:iCs/>
        </w:rPr>
        <w:t>the Chi Square</w:t>
      </w:r>
      <w:r w:rsidRPr="00F34A91">
        <w:rPr>
          <w:rFonts w:eastAsiaTheme="minorEastAsia"/>
        </w:rPr>
        <w:t xml:space="preserve"> value of the table (5.99). Therefore, it is concluded that the residual results of the estimate are distributed normally. This can also be concluded based on the probability value obtained from the Jarque-Bera test, which is 0.53 or 53%</w:t>
      </w:r>
      <w:r w:rsidR="007D517E">
        <w:rPr>
          <w:rFonts w:eastAsiaTheme="minorEastAsia"/>
        </w:rPr>
        <w:t>,</w:t>
      </w:r>
      <w:r w:rsidRPr="00F34A91">
        <w:rPr>
          <w:rFonts w:eastAsiaTheme="minorEastAsia"/>
        </w:rPr>
        <w:t xml:space="preserve"> greater than the confidence level α</w:t>
      </w:r>
      <w:r w:rsidR="007D517E">
        <w:rPr>
          <w:rFonts w:eastAsiaTheme="minorEastAsia"/>
        </w:rPr>
        <w:t xml:space="preserve"> </w:t>
      </w:r>
      <w:r w:rsidRPr="00F34A91">
        <w:rPr>
          <w:rFonts w:eastAsiaTheme="minorEastAsia"/>
        </w:rPr>
        <w:t>=</w:t>
      </w:r>
      <w:r w:rsidR="007D517E">
        <w:rPr>
          <w:rFonts w:eastAsiaTheme="minorEastAsia"/>
        </w:rPr>
        <w:t xml:space="preserve"> </w:t>
      </w:r>
      <w:r w:rsidRPr="00F34A91">
        <w:rPr>
          <w:rFonts w:eastAsiaTheme="minorEastAsia"/>
        </w:rPr>
        <w:t xml:space="preserve">0.05. </w:t>
      </w:r>
    </w:p>
    <w:p w14:paraId="45DE3FE6" w14:textId="77777777" w:rsidR="003453FC" w:rsidRPr="00F34A91" w:rsidRDefault="003453FC" w:rsidP="00837B9E">
      <w:pPr>
        <w:ind w:firstLine="567"/>
        <w:jc w:val="both"/>
        <w:rPr>
          <w:rFonts w:eastAsiaTheme="minorEastAsia"/>
        </w:rPr>
      </w:pPr>
    </w:p>
    <w:p w14:paraId="0E1BFB86" w14:textId="7E8AD004" w:rsidR="00C945A6" w:rsidRPr="00F34A91" w:rsidRDefault="005B2B99" w:rsidP="00C945A6">
      <w:pPr>
        <w:jc w:val="center"/>
        <w:rPr>
          <w:rFonts w:eastAsiaTheme="minorEastAsia"/>
          <w:b/>
          <w:bCs/>
        </w:rPr>
      </w:pPr>
      <w:r w:rsidRPr="00F34A91">
        <w:rPr>
          <w:rFonts w:eastAsiaTheme="minorEastAsia"/>
          <w:b/>
          <w:bCs/>
        </w:rPr>
        <w:lastRenderedPageBreak/>
        <w:t>Table 6. Multicollinearity Test -VIF</w:t>
      </w:r>
      <w:r w:rsidR="00C945A6" w:rsidRPr="00F34A91">
        <w:rPr>
          <w:rFonts w:eastAsiaTheme="minorEastAsia"/>
          <w:b/>
          <w:bCs/>
        </w:rPr>
        <w:t xml:space="preserve"> </w:t>
      </w:r>
    </w:p>
    <w:tbl>
      <w:tblPr>
        <w:tblW w:w="6663" w:type="dxa"/>
        <w:jc w:val="center"/>
        <w:tblLook w:val="04A0" w:firstRow="1" w:lastRow="0" w:firstColumn="1" w:lastColumn="0" w:noHBand="0" w:noVBand="1"/>
      </w:tblPr>
      <w:tblGrid>
        <w:gridCol w:w="1420"/>
        <w:gridCol w:w="1660"/>
        <w:gridCol w:w="3583"/>
      </w:tblGrid>
      <w:tr w:rsidR="00C945A6" w:rsidRPr="001C44A7" w14:paraId="781CA7A8" w14:textId="77777777" w:rsidTr="00C945A6">
        <w:trPr>
          <w:trHeight w:val="280"/>
          <w:jc w:val="center"/>
        </w:trPr>
        <w:tc>
          <w:tcPr>
            <w:tcW w:w="1420" w:type="dxa"/>
            <w:tcBorders>
              <w:top w:val="single" w:sz="4" w:space="0" w:color="auto"/>
              <w:left w:val="nil"/>
              <w:bottom w:val="single" w:sz="4" w:space="0" w:color="auto"/>
              <w:right w:val="nil"/>
            </w:tcBorders>
            <w:shd w:val="clear" w:color="auto" w:fill="auto"/>
            <w:noWrap/>
            <w:vAlign w:val="bottom"/>
            <w:hideMark/>
          </w:tcPr>
          <w:p w14:paraId="628CEE63" w14:textId="101E7576" w:rsidR="00C945A6" w:rsidRPr="001C44A7" w:rsidRDefault="00C945A6" w:rsidP="0034260C">
            <w:pPr>
              <w:rPr>
                <w:color w:val="000000"/>
                <w:lang w:eastAsia="en-ID"/>
              </w:rPr>
            </w:pPr>
            <w:r w:rsidRPr="001C44A7">
              <w:rPr>
                <w:color w:val="000000"/>
                <w:lang w:eastAsia="en-ID"/>
              </w:rPr>
              <w:t>Variabl</w:t>
            </w:r>
            <w:r w:rsidR="005B2B99">
              <w:rPr>
                <w:color w:val="000000"/>
                <w:lang w:eastAsia="en-ID"/>
              </w:rPr>
              <w:t>e</w:t>
            </w:r>
          </w:p>
        </w:tc>
        <w:tc>
          <w:tcPr>
            <w:tcW w:w="1660" w:type="dxa"/>
            <w:tcBorders>
              <w:top w:val="single" w:sz="4" w:space="0" w:color="auto"/>
              <w:left w:val="nil"/>
              <w:bottom w:val="single" w:sz="4" w:space="0" w:color="auto"/>
              <w:right w:val="nil"/>
            </w:tcBorders>
            <w:shd w:val="clear" w:color="auto" w:fill="auto"/>
            <w:noWrap/>
            <w:vAlign w:val="bottom"/>
            <w:hideMark/>
          </w:tcPr>
          <w:p w14:paraId="53A23A55" w14:textId="77777777" w:rsidR="00C945A6" w:rsidRPr="001C44A7" w:rsidRDefault="00C945A6" w:rsidP="0034260C">
            <w:pPr>
              <w:rPr>
                <w:color w:val="000000"/>
                <w:lang w:eastAsia="en-ID"/>
              </w:rPr>
            </w:pPr>
            <w:r w:rsidRPr="001C44A7">
              <w:rPr>
                <w:color w:val="000000"/>
                <w:lang w:eastAsia="en-ID"/>
              </w:rPr>
              <w:t xml:space="preserve">Uncentered VIF </w:t>
            </w:r>
          </w:p>
        </w:tc>
        <w:tc>
          <w:tcPr>
            <w:tcW w:w="3583" w:type="dxa"/>
            <w:tcBorders>
              <w:top w:val="single" w:sz="4" w:space="0" w:color="auto"/>
              <w:left w:val="nil"/>
              <w:bottom w:val="single" w:sz="4" w:space="0" w:color="auto"/>
              <w:right w:val="nil"/>
            </w:tcBorders>
            <w:shd w:val="clear" w:color="auto" w:fill="auto"/>
            <w:noWrap/>
            <w:vAlign w:val="bottom"/>
            <w:hideMark/>
          </w:tcPr>
          <w:p w14:paraId="11A4BE13" w14:textId="77777777" w:rsidR="00C945A6" w:rsidRPr="001C44A7" w:rsidRDefault="00C945A6" w:rsidP="0034260C">
            <w:pPr>
              <w:rPr>
                <w:color w:val="000000"/>
                <w:lang w:eastAsia="en-ID"/>
              </w:rPr>
            </w:pPr>
            <w:r w:rsidRPr="001C44A7">
              <w:rPr>
                <w:color w:val="000000"/>
                <w:lang w:eastAsia="en-ID"/>
              </w:rPr>
              <w:t>Kesimpulan</w:t>
            </w:r>
          </w:p>
        </w:tc>
      </w:tr>
      <w:tr w:rsidR="00C945A6" w:rsidRPr="001C44A7" w14:paraId="7A2B7755" w14:textId="77777777" w:rsidTr="00C945A6">
        <w:trPr>
          <w:trHeight w:val="280"/>
          <w:jc w:val="center"/>
        </w:trPr>
        <w:tc>
          <w:tcPr>
            <w:tcW w:w="1420" w:type="dxa"/>
            <w:tcBorders>
              <w:top w:val="nil"/>
              <w:left w:val="nil"/>
              <w:bottom w:val="nil"/>
              <w:right w:val="nil"/>
            </w:tcBorders>
            <w:shd w:val="clear" w:color="auto" w:fill="auto"/>
            <w:noWrap/>
            <w:vAlign w:val="bottom"/>
            <w:hideMark/>
          </w:tcPr>
          <w:p w14:paraId="7E58C02E" w14:textId="77777777" w:rsidR="00C945A6" w:rsidRPr="001C44A7" w:rsidRDefault="00C945A6" w:rsidP="0034260C">
            <w:pPr>
              <w:rPr>
                <w:color w:val="000000"/>
                <w:lang w:eastAsia="en-ID"/>
              </w:rPr>
            </w:pPr>
            <w:r w:rsidRPr="001C44A7">
              <w:rPr>
                <w:color w:val="000000"/>
                <w:lang w:eastAsia="en-ID"/>
              </w:rPr>
              <w:t>D(ER)</w:t>
            </w:r>
          </w:p>
        </w:tc>
        <w:tc>
          <w:tcPr>
            <w:tcW w:w="1660" w:type="dxa"/>
            <w:tcBorders>
              <w:top w:val="nil"/>
              <w:left w:val="nil"/>
              <w:bottom w:val="nil"/>
              <w:right w:val="nil"/>
            </w:tcBorders>
            <w:shd w:val="clear" w:color="auto" w:fill="auto"/>
            <w:noWrap/>
            <w:vAlign w:val="center"/>
            <w:hideMark/>
          </w:tcPr>
          <w:p w14:paraId="2DD19122" w14:textId="77777777" w:rsidR="00C945A6" w:rsidRPr="001C44A7" w:rsidRDefault="00C945A6" w:rsidP="0034260C">
            <w:pPr>
              <w:jc w:val="center"/>
              <w:rPr>
                <w:color w:val="000000"/>
                <w:lang w:eastAsia="en-ID"/>
              </w:rPr>
            </w:pPr>
            <w:r w:rsidRPr="001C44A7">
              <w:rPr>
                <w:color w:val="000000"/>
                <w:lang w:eastAsia="en-ID"/>
              </w:rPr>
              <w:t>4</w:t>
            </w:r>
            <w:r>
              <w:rPr>
                <w:color w:val="000000"/>
                <w:lang w:eastAsia="en-ID"/>
              </w:rPr>
              <w:t>.</w:t>
            </w:r>
            <w:r w:rsidRPr="001C44A7">
              <w:rPr>
                <w:color w:val="000000"/>
                <w:lang w:eastAsia="en-ID"/>
              </w:rPr>
              <w:t>913377</w:t>
            </w:r>
          </w:p>
        </w:tc>
        <w:tc>
          <w:tcPr>
            <w:tcW w:w="3583" w:type="dxa"/>
            <w:tcBorders>
              <w:top w:val="nil"/>
              <w:left w:val="nil"/>
              <w:bottom w:val="nil"/>
              <w:right w:val="nil"/>
            </w:tcBorders>
            <w:shd w:val="clear" w:color="auto" w:fill="auto"/>
            <w:noWrap/>
            <w:vAlign w:val="bottom"/>
            <w:hideMark/>
          </w:tcPr>
          <w:p w14:paraId="5BB998E5" w14:textId="2630971C" w:rsidR="00C945A6" w:rsidRPr="001C44A7" w:rsidRDefault="005B2B99" w:rsidP="0034260C">
            <w:pPr>
              <w:rPr>
                <w:color w:val="000000"/>
                <w:lang w:eastAsia="en-ID"/>
              </w:rPr>
            </w:pPr>
            <w:r w:rsidRPr="001C44A7">
              <w:rPr>
                <w:color w:val="000000"/>
                <w:lang w:eastAsia="en-ID"/>
              </w:rPr>
              <w:t xml:space="preserve">No Multicollinearity </w:t>
            </w:r>
          </w:p>
        </w:tc>
      </w:tr>
      <w:tr w:rsidR="00C945A6" w:rsidRPr="001C44A7" w14:paraId="6A25A6FC" w14:textId="77777777" w:rsidTr="00C945A6">
        <w:trPr>
          <w:trHeight w:val="280"/>
          <w:jc w:val="center"/>
        </w:trPr>
        <w:tc>
          <w:tcPr>
            <w:tcW w:w="1420" w:type="dxa"/>
            <w:tcBorders>
              <w:top w:val="nil"/>
              <w:left w:val="nil"/>
              <w:bottom w:val="nil"/>
              <w:right w:val="nil"/>
            </w:tcBorders>
            <w:shd w:val="clear" w:color="auto" w:fill="auto"/>
            <w:noWrap/>
            <w:vAlign w:val="bottom"/>
            <w:hideMark/>
          </w:tcPr>
          <w:p w14:paraId="708DF887" w14:textId="77777777" w:rsidR="00C945A6" w:rsidRPr="001C44A7" w:rsidRDefault="00C945A6" w:rsidP="0034260C">
            <w:pPr>
              <w:rPr>
                <w:color w:val="000000"/>
                <w:lang w:eastAsia="en-ID"/>
              </w:rPr>
            </w:pPr>
            <w:r w:rsidRPr="001C44A7">
              <w:rPr>
                <w:color w:val="000000"/>
                <w:lang w:eastAsia="en-ID"/>
              </w:rPr>
              <w:t>D(FDI)</w:t>
            </w:r>
          </w:p>
        </w:tc>
        <w:tc>
          <w:tcPr>
            <w:tcW w:w="1660" w:type="dxa"/>
            <w:tcBorders>
              <w:top w:val="nil"/>
              <w:left w:val="nil"/>
              <w:bottom w:val="nil"/>
              <w:right w:val="nil"/>
            </w:tcBorders>
            <w:shd w:val="clear" w:color="auto" w:fill="auto"/>
            <w:noWrap/>
            <w:vAlign w:val="center"/>
            <w:hideMark/>
          </w:tcPr>
          <w:p w14:paraId="11844E9A" w14:textId="77777777" w:rsidR="00C945A6" w:rsidRPr="001C44A7" w:rsidRDefault="00C945A6" w:rsidP="0034260C">
            <w:pPr>
              <w:jc w:val="center"/>
              <w:rPr>
                <w:color w:val="000000"/>
                <w:lang w:eastAsia="en-ID"/>
              </w:rPr>
            </w:pPr>
            <w:r w:rsidRPr="001C44A7">
              <w:rPr>
                <w:color w:val="000000"/>
                <w:lang w:eastAsia="en-ID"/>
              </w:rPr>
              <w:t>1</w:t>
            </w:r>
            <w:r>
              <w:rPr>
                <w:color w:val="000000"/>
                <w:lang w:eastAsia="en-ID"/>
              </w:rPr>
              <w:t>.</w:t>
            </w:r>
            <w:r w:rsidRPr="001C44A7">
              <w:rPr>
                <w:color w:val="000000"/>
                <w:lang w:eastAsia="en-ID"/>
              </w:rPr>
              <w:t>439960</w:t>
            </w:r>
          </w:p>
        </w:tc>
        <w:tc>
          <w:tcPr>
            <w:tcW w:w="3583" w:type="dxa"/>
            <w:tcBorders>
              <w:top w:val="nil"/>
              <w:left w:val="nil"/>
              <w:bottom w:val="nil"/>
              <w:right w:val="nil"/>
            </w:tcBorders>
            <w:shd w:val="clear" w:color="auto" w:fill="auto"/>
            <w:noWrap/>
            <w:vAlign w:val="bottom"/>
            <w:hideMark/>
          </w:tcPr>
          <w:p w14:paraId="1BC831A7" w14:textId="7EEE8BA9" w:rsidR="00C945A6" w:rsidRPr="001C44A7" w:rsidRDefault="005B2B99" w:rsidP="0034260C">
            <w:pPr>
              <w:rPr>
                <w:color w:val="000000"/>
                <w:lang w:eastAsia="en-ID"/>
              </w:rPr>
            </w:pPr>
            <w:r w:rsidRPr="001C44A7">
              <w:rPr>
                <w:color w:val="000000"/>
                <w:lang w:eastAsia="en-ID"/>
              </w:rPr>
              <w:t>No Multicollinearity</w:t>
            </w:r>
          </w:p>
        </w:tc>
      </w:tr>
      <w:tr w:rsidR="00C945A6" w:rsidRPr="001C44A7" w14:paraId="527D12BB" w14:textId="77777777" w:rsidTr="00C945A6">
        <w:trPr>
          <w:trHeight w:val="280"/>
          <w:jc w:val="center"/>
        </w:trPr>
        <w:tc>
          <w:tcPr>
            <w:tcW w:w="1420" w:type="dxa"/>
            <w:tcBorders>
              <w:top w:val="nil"/>
              <w:left w:val="nil"/>
              <w:bottom w:val="nil"/>
              <w:right w:val="nil"/>
            </w:tcBorders>
            <w:shd w:val="clear" w:color="auto" w:fill="auto"/>
            <w:noWrap/>
            <w:vAlign w:val="bottom"/>
            <w:hideMark/>
          </w:tcPr>
          <w:p w14:paraId="41841126" w14:textId="77777777" w:rsidR="00C945A6" w:rsidRPr="001C44A7" w:rsidRDefault="00C945A6" w:rsidP="0034260C">
            <w:pPr>
              <w:rPr>
                <w:color w:val="000000"/>
                <w:lang w:eastAsia="en-ID"/>
              </w:rPr>
            </w:pPr>
            <w:r w:rsidRPr="001C44A7">
              <w:rPr>
                <w:color w:val="000000"/>
                <w:lang w:eastAsia="en-ID"/>
              </w:rPr>
              <w:t>D(GDP)</w:t>
            </w:r>
          </w:p>
        </w:tc>
        <w:tc>
          <w:tcPr>
            <w:tcW w:w="1660" w:type="dxa"/>
            <w:tcBorders>
              <w:top w:val="nil"/>
              <w:left w:val="nil"/>
              <w:bottom w:val="nil"/>
              <w:right w:val="nil"/>
            </w:tcBorders>
            <w:shd w:val="clear" w:color="auto" w:fill="auto"/>
            <w:noWrap/>
            <w:vAlign w:val="center"/>
            <w:hideMark/>
          </w:tcPr>
          <w:p w14:paraId="0292C576" w14:textId="77777777" w:rsidR="00C945A6" w:rsidRPr="001C44A7" w:rsidRDefault="00C945A6" w:rsidP="0034260C">
            <w:pPr>
              <w:jc w:val="center"/>
              <w:rPr>
                <w:color w:val="000000"/>
                <w:lang w:eastAsia="en-ID"/>
              </w:rPr>
            </w:pPr>
            <w:r w:rsidRPr="001C44A7">
              <w:rPr>
                <w:color w:val="000000"/>
                <w:lang w:eastAsia="en-ID"/>
              </w:rPr>
              <w:t>6</w:t>
            </w:r>
            <w:r>
              <w:rPr>
                <w:color w:val="000000"/>
                <w:lang w:eastAsia="en-ID"/>
              </w:rPr>
              <w:t>.</w:t>
            </w:r>
            <w:r w:rsidRPr="001C44A7">
              <w:rPr>
                <w:color w:val="000000"/>
                <w:lang w:eastAsia="en-ID"/>
              </w:rPr>
              <w:t>184093</w:t>
            </w:r>
          </w:p>
        </w:tc>
        <w:tc>
          <w:tcPr>
            <w:tcW w:w="3583" w:type="dxa"/>
            <w:tcBorders>
              <w:top w:val="nil"/>
              <w:left w:val="nil"/>
              <w:bottom w:val="nil"/>
              <w:right w:val="nil"/>
            </w:tcBorders>
            <w:shd w:val="clear" w:color="auto" w:fill="auto"/>
            <w:noWrap/>
            <w:vAlign w:val="bottom"/>
            <w:hideMark/>
          </w:tcPr>
          <w:p w14:paraId="53ADED7F" w14:textId="1FE7F063" w:rsidR="00C945A6" w:rsidRPr="001C44A7" w:rsidRDefault="005B2B99" w:rsidP="0034260C">
            <w:pPr>
              <w:rPr>
                <w:color w:val="000000"/>
                <w:lang w:eastAsia="en-ID"/>
              </w:rPr>
            </w:pPr>
            <w:r w:rsidRPr="001C44A7">
              <w:rPr>
                <w:color w:val="000000"/>
                <w:lang w:eastAsia="en-ID"/>
              </w:rPr>
              <w:t>No Multicollinearity</w:t>
            </w:r>
          </w:p>
        </w:tc>
      </w:tr>
      <w:tr w:rsidR="00C945A6" w:rsidRPr="001C44A7" w14:paraId="3746A905" w14:textId="77777777" w:rsidTr="00C945A6">
        <w:trPr>
          <w:trHeight w:val="280"/>
          <w:jc w:val="center"/>
        </w:trPr>
        <w:tc>
          <w:tcPr>
            <w:tcW w:w="1420" w:type="dxa"/>
            <w:tcBorders>
              <w:top w:val="nil"/>
              <w:left w:val="nil"/>
              <w:bottom w:val="nil"/>
              <w:right w:val="nil"/>
            </w:tcBorders>
            <w:shd w:val="clear" w:color="auto" w:fill="auto"/>
            <w:noWrap/>
            <w:vAlign w:val="bottom"/>
            <w:hideMark/>
          </w:tcPr>
          <w:p w14:paraId="23446880" w14:textId="77777777" w:rsidR="00C945A6" w:rsidRPr="001C44A7" w:rsidRDefault="00C945A6" w:rsidP="0034260C">
            <w:pPr>
              <w:rPr>
                <w:color w:val="000000"/>
                <w:lang w:eastAsia="en-ID"/>
              </w:rPr>
            </w:pPr>
            <w:r w:rsidRPr="001C44A7">
              <w:rPr>
                <w:color w:val="000000"/>
                <w:lang w:eastAsia="en-ID"/>
              </w:rPr>
              <w:t>D(GE)</w:t>
            </w:r>
          </w:p>
        </w:tc>
        <w:tc>
          <w:tcPr>
            <w:tcW w:w="1660" w:type="dxa"/>
            <w:tcBorders>
              <w:top w:val="nil"/>
              <w:left w:val="nil"/>
              <w:bottom w:val="nil"/>
              <w:right w:val="nil"/>
            </w:tcBorders>
            <w:shd w:val="clear" w:color="auto" w:fill="auto"/>
            <w:noWrap/>
            <w:vAlign w:val="center"/>
            <w:hideMark/>
          </w:tcPr>
          <w:p w14:paraId="1269C4CE" w14:textId="77777777" w:rsidR="00C945A6" w:rsidRPr="001C44A7" w:rsidRDefault="00C945A6" w:rsidP="0034260C">
            <w:pPr>
              <w:jc w:val="center"/>
              <w:rPr>
                <w:color w:val="000000"/>
                <w:lang w:eastAsia="en-ID"/>
              </w:rPr>
            </w:pPr>
            <w:r w:rsidRPr="001C44A7">
              <w:rPr>
                <w:color w:val="000000"/>
                <w:lang w:eastAsia="en-ID"/>
              </w:rPr>
              <w:t>1</w:t>
            </w:r>
            <w:r>
              <w:rPr>
                <w:color w:val="000000"/>
                <w:lang w:eastAsia="en-ID"/>
              </w:rPr>
              <w:t>.</w:t>
            </w:r>
            <w:r w:rsidRPr="001C44A7">
              <w:rPr>
                <w:color w:val="000000"/>
                <w:lang w:eastAsia="en-ID"/>
              </w:rPr>
              <w:t>853263</w:t>
            </w:r>
          </w:p>
        </w:tc>
        <w:tc>
          <w:tcPr>
            <w:tcW w:w="3583" w:type="dxa"/>
            <w:tcBorders>
              <w:top w:val="nil"/>
              <w:left w:val="nil"/>
              <w:bottom w:val="nil"/>
              <w:right w:val="nil"/>
            </w:tcBorders>
            <w:shd w:val="clear" w:color="auto" w:fill="auto"/>
            <w:noWrap/>
            <w:vAlign w:val="bottom"/>
            <w:hideMark/>
          </w:tcPr>
          <w:p w14:paraId="7EAFBF31" w14:textId="6743AD3E" w:rsidR="00C945A6" w:rsidRPr="001C44A7" w:rsidRDefault="005B2B99" w:rsidP="0034260C">
            <w:pPr>
              <w:rPr>
                <w:color w:val="000000"/>
                <w:lang w:eastAsia="en-ID"/>
              </w:rPr>
            </w:pPr>
            <w:r w:rsidRPr="001C44A7">
              <w:rPr>
                <w:color w:val="000000"/>
                <w:lang w:eastAsia="en-ID"/>
              </w:rPr>
              <w:t>No Multicollinearity</w:t>
            </w:r>
          </w:p>
        </w:tc>
      </w:tr>
      <w:tr w:rsidR="00C945A6" w:rsidRPr="001C44A7" w14:paraId="7B72C928" w14:textId="77777777" w:rsidTr="00C945A6">
        <w:trPr>
          <w:trHeight w:val="280"/>
          <w:jc w:val="center"/>
        </w:trPr>
        <w:tc>
          <w:tcPr>
            <w:tcW w:w="1420" w:type="dxa"/>
            <w:tcBorders>
              <w:top w:val="nil"/>
              <w:left w:val="nil"/>
              <w:bottom w:val="nil"/>
              <w:right w:val="nil"/>
            </w:tcBorders>
            <w:shd w:val="clear" w:color="auto" w:fill="auto"/>
            <w:noWrap/>
            <w:vAlign w:val="bottom"/>
            <w:hideMark/>
          </w:tcPr>
          <w:p w14:paraId="2CCF0626" w14:textId="77777777" w:rsidR="00C945A6" w:rsidRPr="001C44A7" w:rsidRDefault="00C945A6" w:rsidP="0034260C">
            <w:pPr>
              <w:rPr>
                <w:color w:val="000000"/>
                <w:lang w:eastAsia="en-ID"/>
              </w:rPr>
            </w:pPr>
            <w:r w:rsidRPr="001C44A7">
              <w:rPr>
                <w:color w:val="000000"/>
                <w:lang w:eastAsia="en-ID"/>
              </w:rPr>
              <w:t>D(INF)</w:t>
            </w:r>
          </w:p>
        </w:tc>
        <w:tc>
          <w:tcPr>
            <w:tcW w:w="1660" w:type="dxa"/>
            <w:tcBorders>
              <w:top w:val="nil"/>
              <w:left w:val="nil"/>
              <w:bottom w:val="nil"/>
              <w:right w:val="nil"/>
            </w:tcBorders>
            <w:shd w:val="clear" w:color="auto" w:fill="auto"/>
            <w:noWrap/>
            <w:vAlign w:val="center"/>
            <w:hideMark/>
          </w:tcPr>
          <w:p w14:paraId="1D2BB7C6" w14:textId="77777777" w:rsidR="00C945A6" w:rsidRPr="001C44A7" w:rsidRDefault="00C945A6" w:rsidP="0034260C">
            <w:pPr>
              <w:jc w:val="center"/>
              <w:rPr>
                <w:color w:val="000000"/>
                <w:lang w:eastAsia="en-ID"/>
              </w:rPr>
            </w:pPr>
            <w:r w:rsidRPr="001C44A7">
              <w:rPr>
                <w:color w:val="000000"/>
                <w:lang w:eastAsia="en-ID"/>
              </w:rPr>
              <w:t>8</w:t>
            </w:r>
            <w:r>
              <w:rPr>
                <w:color w:val="000000"/>
                <w:lang w:eastAsia="en-ID"/>
              </w:rPr>
              <w:t>.</w:t>
            </w:r>
            <w:r w:rsidRPr="001C44A7">
              <w:rPr>
                <w:color w:val="000000"/>
                <w:lang w:eastAsia="en-ID"/>
              </w:rPr>
              <w:t>981512</w:t>
            </w:r>
          </w:p>
        </w:tc>
        <w:tc>
          <w:tcPr>
            <w:tcW w:w="3583" w:type="dxa"/>
            <w:tcBorders>
              <w:top w:val="nil"/>
              <w:left w:val="nil"/>
              <w:bottom w:val="nil"/>
              <w:right w:val="nil"/>
            </w:tcBorders>
            <w:shd w:val="clear" w:color="auto" w:fill="auto"/>
            <w:noWrap/>
            <w:vAlign w:val="bottom"/>
            <w:hideMark/>
          </w:tcPr>
          <w:p w14:paraId="3135E3D9" w14:textId="5B733246" w:rsidR="00C945A6" w:rsidRPr="001C44A7" w:rsidRDefault="005B2B99" w:rsidP="0034260C">
            <w:pPr>
              <w:rPr>
                <w:color w:val="000000"/>
                <w:lang w:eastAsia="en-ID"/>
              </w:rPr>
            </w:pPr>
            <w:r w:rsidRPr="001C44A7">
              <w:rPr>
                <w:color w:val="000000"/>
                <w:lang w:eastAsia="en-ID"/>
              </w:rPr>
              <w:t>No Multicollinearity</w:t>
            </w:r>
          </w:p>
        </w:tc>
      </w:tr>
      <w:tr w:rsidR="00C945A6" w:rsidRPr="001C44A7" w14:paraId="63E9BF42" w14:textId="77777777" w:rsidTr="00C945A6">
        <w:trPr>
          <w:trHeight w:val="280"/>
          <w:jc w:val="center"/>
        </w:trPr>
        <w:tc>
          <w:tcPr>
            <w:tcW w:w="1420" w:type="dxa"/>
            <w:tcBorders>
              <w:top w:val="nil"/>
              <w:left w:val="nil"/>
              <w:bottom w:val="nil"/>
              <w:right w:val="nil"/>
            </w:tcBorders>
            <w:shd w:val="clear" w:color="auto" w:fill="auto"/>
            <w:noWrap/>
            <w:vAlign w:val="bottom"/>
            <w:hideMark/>
          </w:tcPr>
          <w:p w14:paraId="7D9BEEC0" w14:textId="77777777" w:rsidR="00C945A6" w:rsidRPr="001C44A7" w:rsidRDefault="00C945A6" w:rsidP="0034260C">
            <w:pPr>
              <w:rPr>
                <w:color w:val="000000"/>
                <w:lang w:eastAsia="en-ID"/>
              </w:rPr>
            </w:pPr>
            <w:r w:rsidRPr="001C44A7">
              <w:rPr>
                <w:color w:val="000000"/>
                <w:lang w:eastAsia="en-ID"/>
              </w:rPr>
              <w:t>D(IR)</w:t>
            </w:r>
          </w:p>
        </w:tc>
        <w:tc>
          <w:tcPr>
            <w:tcW w:w="1660" w:type="dxa"/>
            <w:tcBorders>
              <w:top w:val="nil"/>
              <w:left w:val="nil"/>
              <w:bottom w:val="nil"/>
              <w:right w:val="nil"/>
            </w:tcBorders>
            <w:shd w:val="clear" w:color="auto" w:fill="auto"/>
            <w:noWrap/>
            <w:vAlign w:val="center"/>
            <w:hideMark/>
          </w:tcPr>
          <w:p w14:paraId="62233941" w14:textId="77777777" w:rsidR="00C945A6" w:rsidRPr="001C44A7" w:rsidRDefault="00C945A6" w:rsidP="0034260C">
            <w:pPr>
              <w:jc w:val="center"/>
              <w:rPr>
                <w:color w:val="000000"/>
                <w:lang w:eastAsia="en-ID"/>
              </w:rPr>
            </w:pPr>
            <w:r w:rsidRPr="001C44A7">
              <w:rPr>
                <w:color w:val="000000"/>
                <w:lang w:eastAsia="en-ID"/>
              </w:rPr>
              <w:t>2</w:t>
            </w:r>
            <w:r>
              <w:rPr>
                <w:color w:val="000000"/>
                <w:lang w:eastAsia="en-ID"/>
              </w:rPr>
              <w:t>.</w:t>
            </w:r>
            <w:r w:rsidRPr="001C44A7">
              <w:rPr>
                <w:color w:val="000000"/>
                <w:lang w:eastAsia="en-ID"/>
              </w:rPr>
              <w:t>920990</w:t>
            </w:r>
          </w:p>
        </w:tc>
        <w:tc>
          <w:tcPr>
            <w:tcW w:w="3583" w:type="dxa"/>
            <w:tcBorders>
              <w:top w:val="nil"/>
              <w:left w:val="nil"/>
              <w:bottom w:val="nil"/>
              <w:right w:val="nil"/>
            </w:tcBorders>
            <w:shd w:val="clear" w:color="auto" w:fill="auto"/>
            <w:noWrap/>
            <w:vAlign w:val="bottom"/>
            <w:hideMark/>
          </w:tcPr>
          <w:p w14:paraId="7C58560A" w14:textId="10456C56" w:rsidR="00C945A6" w:rsidRPr="001C44A7" w:rsidRDefault="005B2B99" w:rsidP="0034260C">
            <w:pPr>
              <w:rPr>
                <w:color w:val="000000"/>
                <w:lang w:eastAsia="en-ID"/>
              </w:rPr>
            </w:pPr>
            <w:r w:rsidRPr="001C44A7">
              <w:rPr>
                <w:color w:val="000000"/>
                <w:lang w:eastAsia="en-ID"/>
              </w:rPr>
              <w:t>No Multicollinearity</w:t>
            </w:r>
          </w:p>
        </w:tc>
      </w:tr>
      <w:tr w:rsidR="00C945A6" w:rsidRPr="001C44A7" w14:paraId="77D200D2" w14:textId="77777777" w:rsidTr="00C945A6">
        <w:trPr>
          <w:trHeight w:val="280"/>
          <w:jc w:val="center"/>
        </w:trPr>
        <w:tc>
          <w:tcPr>
            <w:tcW w:w="1420" w:type="dxa"/>
            <w:tcBorders>
              <w:top w:val="nil"/>
              <w:left w:val="nil"/>
              <w:bottom w:val="single" w:sz="4" w:space="0" w:color="auto"/>
              <w:right w:val="nil"/>
            </w:tcBorders>
            <w:shd w:val="clear" w:color="auto" w:fill="auto"/>
            <w:noWrap/>
            <w:vAlign w:val="bottom"/>
            <w:hideMark/>
          </w:tcPr>
          <w:p w14:paraId="195B2A1C" w14:textId="77777777" w:rsidR="00C945A6" w:rsidRPr="001C44A7" w:rsidRDefault="00C945A6" w:rsidP="0034260C">
            <w:pPr>
              <w:rPr>
                <w:color w:val="000000"/>
                <w:lang w:eastAsia="en-ID"/>
              </w:rPr>
            </w:pPr>
            <w:r w:rsidRPr="001C44A7">
              <w:rPr>
                <w:color w:val="000000"/>
                <w:lang w:eastAsia="en-ID"/>
              </w:rPr>
              <w:t>ECT(-1)</w:t>
            </w:r>
          </w:p>
        </w:tc>
        <w:tc>
          <w:tcPr>
            <w:tcW w:w="1660" w:type="dxa"/>
            <w:tcBorders>
              <w:top w:val="nil"/>
              <w:left w:val="nil"/>
              <w:bottom w:val="single" w:sz="4" w:space="0" w:color="auto"/>
              <w:right w:val="nil"/>
            </w:tcBorders>
            <w:shd w:val="clear" w:color="auto" w:fill="auto"/>
            <w:noWrap/>
            <w:vAlign w:val="center"/>
            <w:hideMark/>
          </w:tcPr>
          <w:p w14:paraId="596B338F" w14:textId="77777777" w:rsidR="00C945A6" w:rsidRPr="001C44A7" w:rsidRDefault="00C945A6" w:rsidP="0034260C">
            <w:pPr>
              <w:jc w:val="center"/>
              <w:rPr>
                <w:color w:val="000000"/>
                <w:lang w:eastAsia="en-ID"/>
              </w:rPr>
            </w:pPr>
            <w:r w:rsidRPr="001C44A7">
              <w:rPr>
                <w:color w:val="000000"/>
                <w:lang w:eastAsia="en-ID"/>
              </w:rPr>
              <w:t>1</w:t>
            </w:r>
            <w:r>
              <w:rPr>
                <w:color w:val="000000"/>
                <w:lang w:eastAsia="en-ID"/>
              </w:rPr>
              <w:t>.</w:t>
            </w:r>
            <w:r w:rsidRPr="001C44A7">
              <w:rPr>
                <w:color w:val="000000"/>
                <w:lang w:eastAsia="en-ID"/>
              </w:rPr>
              <w:t>174173</w:t>
            </w:r>
          </w:p>
        </w:tc>
        <w:tc>
          <w:tcPr>
            <w:tcW w:w="3583" w:type="dxa"/>
            <w:tcBorders>
              <w:top w:val="nil"/>
              <w:left w:val="nil"/>
              <w:bottom w:val="single" w:sz="4" w:space="0" w:color="auto"/>
              <w:right w:val="nil"/>
            </w:tcBorders>
            <w:shd w:val="clear" w:color="auto" w:fill="auto"/>
            <w:noWrap/>
            <w:vAlign w:val="bottom"/>
            <w:hideMark/>
          </w:tcPr>
          <w:p w14:paraId="00A5E86B" w14:textId="5DA78F7A" w:rsidR="00C945A6" w:rsidRPr="001C44A7" w:rsidRDefault="005B2B99" w:rsidP="0034260C">
            <w:pPr>
              <w:rPr>
                <w:color w:val="000000"/>
                <w:lang w:eastAsia="en-ID"/>
              </w:rPr>
            </w:pPr>
            <w:r w:rsidRPr="001C44A7">
              <w:rPr>
                <w:color w:val="000000"/>
                <w:lang w:eastAsia="en-ID"/>
              </w:rPr>
              <w:t>No Multicollinearity</w:t>
            </w:r>
          </w:p>
        </w:tc>
      </w:tr>
    </w:tbl>
    <w:p w14:paraId="6F63FB2F" w14:textId="77777777" w:rsidR="005B2B99" w:rsidRPr="000810C4" w:rsidRDefault="005B2B99" w:rsidP="005F4597">
      <w:pPr>
        <w:ind w:firstLine="720"/>
        <w:rPr>
          <w:b/>
          <w:bCs/>
          <w:i/>
          <w:iCs/>
        </w:rPr>
      </w:pPr>
      <w:r w:rsidRPr="000810C4">
        <w:rPr>
          <w:rFonts w:eastAsiaTheme="minorEastAsia"/>
          <w:i/>
          <w:iCs/>
        </w:rPr>
        <w:t xml:space="preserve">Source: data processed using </w:t>
      </w:r>
      <w:proofErr w:type="spellStart"/>
      <w:r w:rsidRPr="000810C4">
        <w:rPr>
          <w:rFonts w:eastAsiaTheme="minorEastAsia"/>
          <w:i/>
          <w:iCs/>
        </w:rPr>
        <w:t>Eviews</w:t>
      </w:r>
      <w:proofErr w:type="spellEnd"/>
      <w:r w:rsidRPr="000810C4">
        <w:rPr>
          <w:rFonts w:eastAsiaTheme="minorEastAsia"/>
          <w:i/>
          <w:iCs/>
        </w:rPr>
        <w:t xml:space="preserve"> 12</w:t>
      </w:r>
    </w:p>
    <w:p w14:paraId="0C1EDCDE" w14:textId="77777777" w:rsidR="006E4EB2" w:rsidRDefault="006E4EB2" w:rsidP="00DD5B91">
      <w:pPr>
        <w:ind w:firstLine="567"/>
        <w:jc w:val="both"/>
      </w:pPr>
    </w:p>
    <w:p w14:paraId="69602959" w14:textId="3E249C55" w:rsidR="005B2B99" w:rsidRPr="00F34A91" w:rsidRDefault="005B2B99" w:rsidP="00A14415">
      <w:pPr>
        <w:ind w:firstLine="567"/>
        <w:jc w:val="both"/>
      </w:pPr>
      <w:r w:rsidRPr="00F34A91">
        <w:t xml:space="preserve">Referring to the multicollinearity test of the ECM method as shown in </w:t>
      </w:r>
      <w:r w:rsidR="007D517E">
        <w:t>T</w:t>
      </w:r>
      <w:r w:rsidRPr="00F34A91">
        <w:t>able 5</w:t>
      </w:r>
      <w:r w:rsidR="007D517E">
        <w:t>,</w:t>
      </w:r>
      <w:r w:rsidRPr="00F34A91">
        <w:t xml:space="preserve"> It can be seen that the value of each VIF of all independent variables has a value less than 10. Variables that have a VIF value of less than 10 show that there is no multicollinearity problem in this study.</w:t>
      </w:r>
    </w:p>
    <w:p w14:paraId="68C2ABC3" w14:textId="42D6C6F4" w:rsidR="00C945A6" w:rsidRPr="00F34A91" w:rsidRDefault="005B2B99" w:rsidP="00C945A6">
      <w:pPr>
        <w:jc w:val="center"/>
        <w:rPr>
          <w:b/>
          <w:bCs/>
        </w:rPr>
      </w:pPr>
      <w:r w:rsidRPr="00F34A91">
        <w:rPr>
          <w:b/>
          <w:bCs/>
        </w:rPr>
        <w:t>Table 7. Heteroscedasticity Test</w:t>
      </w:r>
      <w:r w:rsidR="00C945A6" w:rsidRPr="00F34A91">
        <w:rPr>
          <w:b/>
          <w:bCs/>
        </w:rPr>
        <w:t xml:space="preserve"> </w:t>
      </w:r>
    </w:p>
    <w:tbl>
      <w:tblPr>
        <w:tblW w:w="6760" w:type="dxa"/>
        <w:jc w:val="center"/>
        <w:tblLook w:val="04A0" w:firstRow="1" w:lastRow="0" w:firstColumn="1" w:lastColumn="0" w:noHBand="0" w:noVBand="1"/>
      </w:tblPr>
      <w:tblGrid>
        <w:gridCol w:w="2407"/>
        <w:gridCol w:w="1126"/>
        <w:gridCol w:w="2391"/>
        <w:gridCol w:w="876"/>
      </w:tblGrid>
      <w:tr w:rsidR="00C945A6" w:rsidRPr="008F6A96" w14:paraId="47E79E3A" w14:textId="77777777" w:rsidTr="0034260C">
        <w:trPr>
          <w:trHeight w:val="280"/>
          <w:jc w:val="center"/>
        </w:trPr>
        <w:tc>
          <w:tcPr>
            <w:tcW w:w="6760" w:type="dxa"/>
            <w:gridSpan w:val="4"/>
            <w:tcBorders>
              <w:top w:val="single" w:sz="4" w:space="0" w:color="auto"/>
              <w:left w:val="nil"/>
              <w:bottom w:val="single" w:sz="4" w:space="0" w:color="auto"/>
              <w:right w:val="nil"/>
            </w:tcBorders>
            <w:shd w:val="clear" w:color="auto" w:fill="auto"/>
            <w:noWrap/>
            <w:vAlign w:val="center"/>
            <w:hideMark/>
          </w:tcPr>
          <w:p w14:paraId="0F443D12" w14:textId="77777777" w:rsidR="00C945A6" w:rsidRPr="008F6A96" w:rsidRDefault="00C945A6" w:rsidP="0034260C">
            <w:pPr>
              <w:rPr>
                <w:color w:val="000000"/>
                <w:lang w:eastAsia="en-ID"/>
              </w:rPr>
            </w:pPr>
            <w:r w:rsidRPr="008F6A96">
              <w:rPr>
                <w:color w:val="000000"/>
                <w:lang w:eastAsia="en-ID"/>
              </w:rPr>
              <w:t xml:space="preserve">Heteroskedasticity test </w:t>
            </w:r>
          </w:p>
        </w:tc>
      </w:tr>
      <w:tr w:rsidR="00C945A6" w:rsidRPr="008F6A96" w14:paraId="1D943997" w14:textId="77777777" w:rsidTr="0034260C">
        <w:trPr>
          <w:trHeight w:val="280"/>
          <w:jc w:val="center"/>
        </w:trPr>
        <w:tc>
          <w:tcPr>
            <w:tcW w:w="2407" w:type="dxa"/>
            <w:tcBorders>
              <w:top w:val="nil"/>
              <w:left w:val="nil"/>
              <w:bottom w:val="nil"/>
              <w:right w:val="nil"/>
            </w:tcBorders>
            <w:shd w:val="clear" w:color="auto" w:fill="auto"/>
            <w:noWrap/>
            <w:vAlign w:val="bottom"/>
            <w:hideMark/>
          </w:tcPr>
          <w:p w14:paraId="1BADE3E0" w14:textId="77777777" w:rsidR="00C945A6" w:rsidRPr="008F6A96" w:rsidRDefault="00C945A6" w:rsidP="0034260C">
            <w:pPr>
              <w:rPr>
                <w:color w:val="000000"/>
                <w:lang w:eastAsia="en-ID"/>
              </w:rPr>
            </w:pPr>
            <w:r w:rsidRPr="008F6A96">
              <w:rPr>
                <w:color w:val="000000"/>
                <w:lang w:eastAsia="en-ID"/>
              </w:rPr>
              <w:t>F-statistic</w:t>
            </w:r>
          </w:p>
        </w:tc>
        <w:tc>
          <w:tcPr>
            <w:tcW w:w="1126" w:type="dxa"/>
            <w:tcBorders>
              <w:top w:val="nil"/>
              <w:left w:val="nil"/>
              <w:bottom w:val="nil"/>
              <w:right w:val="nil"/>
            </w:tcBorders>
            <w:shd w:val="clear" w:color="auto" w:fill="auto"/>
            <w:noWrap/>
            <w:vAlign w:val="bottom"/>
            <w:hideMark/>
          </w:tcPr>
          <w:p w14:paraId="790BC2D1" w14:textId="77777777" w:rsidR="00C945A6" w:rsidRPr="008F6A96" w:rsidRDefault="00C945A6" w:rsidP="0034260C">
            <w:pPr>
              <w:jc w:val="right"/>
              <w:rPr>
                <w:color w:val="000000"/>
                <w:lang w:eastAsia="en-ID"/>
              </w:rPr>
            </w:pPr>
            <w:r w:rsidRPr="008F6A96">
              <w:rPr>
                <w:color w:val="000000"/>
                <w:lang w:eastAsia="en-ID"/>
              </w:rPr>
              <w:t>0</w:t>
            </w:r>
            <w:r>
              <w:rPr>
                <w:color w:val="000000"/>
                <w:lang w:eastAsia="en-ID"/>
              </w:rPr>
              <w:t>.</w:t>
            </w:r>
            <w:r w:rsidRPr="008F6A96">
              <w:rPr>
                <w:color w:val="000000"/>
                <w:lang w:eastAsia="en-ID"/>
              </w:rPr>
              <w:t>650953</w:t>
            </w:r>
          </w:p>
        </w:tc>
        <w:tc>
          <w:tcPr>
            <w:tcW w:w="2391" w:type="dxa"/>
            <w:tcBorders>
              <w:top w:val="nil"/>
              <w:left w:val="nil"/>
              <w:bottom w:val="nil"/>
              <w:right w:val="nil"/>
            </w:tcBorders>
            <w:shd w:val="clear" w:color="auto" w:fill="auto"/>
            <w:noWrap/>
            <w:vAlign w:val="bottom"/>
            <w:hideMark/>
          </w:tcPr>
          <w:p w14:paraId="533DBFD7" w14:textId="77777777" w:rsidR="00C945A6" w:rsidRPr="008F6A96" w:rsidRDefault="00C945A6" w:rsidP="0034260C">
            <w:pPr>
              <w:rPr>
                <w:color w:val="000000"/>
                <w:lang w:eastAsia="en-ID"/>
              </w:rPr>
            </w:pPr>
            <w:r w:rsidRPr="008F6A96">
              <w:rPr>
                <w:color w:val="000000"/>
                <w:lang w:eastAsia="en-ID"/>
              </w:rPr>
              <w:t>Prob. F</w:t>
            </w:r>
            <w:r>
              <w:rPr>
                <w:color w:val="000000"/>
                <w:lang w:eastAsia="en-ID"/>
              </w:rPr>
              <w:t xml:space="preserve"> </w:t>
            </w:r>
            <w:r w:rsidRPr="008F6A96">
              <w:rPr>
                <w:color w:val="000000"/>
                <w:lang w:eastAsia="en-ID"/>
              </w:rPr>
              <w:t>(7,21)</w:t>
            </w:r>
          </w:p>
        </w:tc>
        <w:tc>
          <w:tcPr>
            <w:tcW w:w="836" w:type="dxa"/>
            <w:tcBorders>
              <w:top w:val="nil"/>
              <w:left w:val="nil"/>
              <w:bottom w:val="nil"/>
              <w:right w:val="nil"/>
            </w:tcBorders>
            <w:shd w:val="clear" w:color="auto" w:fill="auto"/>
            <w:noWrap/>
            <w:vAlign w:val="bottom"/>
            <w:hideMark/>
          </w:tcPr>
          <w:p w14:paraId="02F574F3" w14:textId="77777777" w:rsidR="00C945A6" w:rsidRPr="008F6A96" w:rsidRDefault="00C945A6" w:rsidP="0034260C">
            <w:pPr>
              <w:jc w:val="right"/>
              <w:rPr>
                <w:color w:val="000000"/>
                <w:lang w:eastAsia="en-ID"/>
              </w:rPr>
            </w:pPr>
            <w:r w:rsidRPr="008F6A96">
              <w:rPr>
                <w:color w:val="000000"/>
                <w:lang w:eastAsia="en-ID"/>
              </w:rPr>
              <w:t>0,7097</w:t>
            </w:r>
          </w:p>
        </w:tc>
      </w:tr>
      <w:tr w:rsidR="00C945A6" w:rsidRPr="008F6A96" w14:paraId="730E4220" w14:textId="77777777" w:rsidTr="0034260C">
        <w:trPr>
          <w:trHeight w:val="280"/>
          <w:jc w:val="center"/>
        </w:trPr>
        <w:tc>
          <w:tcPr>
            <w:tcW w:w="2407" w:type="dxa"/>
            <w:tcBorders>
              <w:top w:val="nil"/>
              <w:left w:val="nil"/>
              <w:bottom w:val="nil"/>
              <w:right w:val="nil"/>
            </w:tcBorders>
            <w:shd w:val="clear" w:color="auto" w:fill="auto"/>
            <w:noWrap/>
            <w:vAlign w:val="bottom"/>
            <w:hideMark/>
          </w:tcPr>
          <w:p w14:paraId="5A7208E2" w14:textId="77777777" w:rsidR="00C945A6" w:rsidRPr="008F6A96" w:rsidRDefault="00C945A6" w:rsidP="0034260C">
            <w:pPr>
              <w:rPr>
                <w:color w:val="000000"/>
                <w:lang w:eastAsia="en-ID"/>
              </w:rPr>
            </w:pPr>
            <w:r w:rsidRPr="008F6A96">
              <w:rPr>
                <w:color w:val="000000"/>
                <w:lang w:eastAsia="en-ID"/>
              </w:rPr>
              <w:t xml:space="preserve">Obs </w:t>
            </w:r>
            <w:r>
              <w:rPr>
                <w:color w:val="000000"/>
                <w:lang w:eastAsia="en-ID"/>
              </w:rPr>
              <w:t>*</w:t>
            </w:r>
            <w:r w:rsidRPr="008F6A96">
              <w:rPr>
                <w:color w:val="000000"/>
                <w:lang w:eastAsia="en-ID"/>
              </w:rPr>
              <w:t xml:space="preserve">R-squared </w:t>
            </w:r>
          </w:p>
        </w:tc>
        <w:tc>
          <w:tcPr>
            <w:tcW w:w="1126" w:type="dxa"/>
            <w:tcBorders>
              <w:top w:val="nil"/>
              <w:left w:val="nil"/>
              <w:bottom w:val="nil"/>
              <w:right w:val="nil"/>
            </w:tcBorders>
            <w:shd w:val="clear" w:color="auto" w:fill="auto"/>
            <w:noWrap/>
            <w:vAlign w:val="bottom"/>
            <w:hideMark/>
          </w:tcPr>
          <w:p w14:paraId="63CBAB54" w14:textId="77777777" w:rsidR="00C945A6" w:rsidRPr="008F6A96" w:rsidRDefault="00C945A6" w:rsidP="0034260C">
            <w:pPr>
              <w:jc w:val="right"/>
              <w:rPr>
                <w:color w:val="000000"/>
                <w:lang w:eastAsia="en-ID"/>
              </w:rPr>
            </w:pPr>
            <w:r w:rsidRPr="008F6A96">
              <w:rPr>
                <w:color w:val="000000"/>
                <w:lang w:eastAsia="en-ID"/>
              </w:rPr>
              <w:t>5</w:t>
            </w:r>
            <w:r>
              <w:rPr>
                <w:color w:val="000000"/>
                <w:lang w:eastAsia="en-ID"/>
              </w:rPr>
              <w:t>.</w:t>
            </w:r>
            <w:r w:rsidRPr="008F6A96">
              <w:rPr>
                <w:color w:val="000000"/>
                <w:lang w:eastAsia="en-ID"/>
              </w:rPr>
              <w:t>170607</w:t>
            </w:r>
          </w:p>
        </w:tc>
        <w:tc>
          <w:tcPr>
            <w:tcW w:w="2391" w:type="dxa"/>
            <w:tcBorders>
              <w:top w:val="nil"/>
              <w:left w:val="nil"/>
              <w:bottom w:val="nil"/>
              <w:right w:val="nil"/>
            </w:tcBorders>
            <w:shd w:val="clear" w:color="auto" w:fill="auto"/>
            <w:noWrap/>
            <w:vAlign w:val="bottom"/>
            <w:hideMark/>
          </w:tcPr>
          <w:p w14:paraId="17789E91" w14:textId="77777777" w:rsidR="00C945A6" w:rsidRPr="008F6A96" w:rsidRDefault="00C945A6" w:rsidP="0034260C">
            <w:pPr>
              <w:rPr>
                <w:color w:val="000000"/>
                <w:lang w:eastAsia="en-ID"/>
              </w:rPr>
            </w:pPr>
            <w:r w:rsidRPr="008F6A96">
              <w:rPr>
                <w:color w:val="000000"/>
                <w:lang w:eastAsia="en-ID"/>
              </w:rPr>
              <w:t>Prob. Chi-Square</w:t>
            </w:r>
            <w:r>
              <w:rPr>
                <w:color w:val="000000"/>
                <w:lang w:eastAsia="en-ID"/>
              </w:rPr>
              <w:t xml:space="preserve"> </w:t>
            </w:r>
            <w:r w:rsidRPr="008F6A96">
              <w:rPr>
                <w:color w:val="000000"/>
                <w:lang w:eastAsia="en-ID"/>
              </w:rPr>
              <w:t>(7)</w:t>
            </w:r>
          </w:p>
        </w:tc>
        <w:tc>
          <w:tcPr>
            <w:tcW w:w="836" w:type="dxa"/>
            <w:tcBorders>
              <w:top w:val="nil"/>
              <w:left w:val="nil"/>
              <w:bottom w:val="nil"/>
              <w:right w:val="nil"/>
            </w:tcBorders>
            <w:shd w:val="clear" w:color="auto" w:fill="auto"/>
            <w:noWrap/>
            <w:vAlign w:val="bottom"/>
            <w:hideMark/>
          </w:tcPr>
          <w:p w14:paraId="0967ED7B" w14:textId="77777777" w:rsidR="00C945A6" w:rsidRPr="008F6A96" w:rsidRDefault="00C945A6" w:rsidP="0034260C">
            <w:pPr>
              <w:jc w:val="right"/>
              <w:rPr>
                <w:color w:val="000000"/>
                <w:lang w:eastAsia="en-ID"/>
              </w:rPr>
            </w:pPr>
            <w:r w:rsidRPr="008F6A96">
              <w:rPr>
                <w:color w:val="000000"/>
                <w:lang w:eastAsia="en-ID"/>
              </w:rPr>
              <w:t>0,6392</w:t>
            </w:r>
          </w:p>
        </w:tc>
      </w:tr>
      <w:tr w:rsidR="00C945A6" w:rsidRPr="008F6A96" w14:paraId="444B7477" w14:textId="77777777" w:rsidTr="0034260C">
        <w:trPr>
          <w:trHeight w:val="280"/>
          <w:jc w:val="center"/>
        </w:trPr>
        <w:tc>
          <w:tcPr>
            <w:tcW w:w="2407" w:type="dxa"/>
            <w:tcBorders>
              <w:top w:val="nil"/>
              <w:left w:val="nil"/>
              <w:bottom w:val="single" w:sz="4" w:space="0" w:color="auto"/>
              <w:right w:val="nil"/>
            </w:tcBorders>
            <w:shd w:val="clear" w:color="auto" w:fill="auto"/>
            <w:noWrap/>
            <w:vAlign w:val="bottom"/>
            <w:hideMark/>
          </w:tcPr>
          <w:p w14:paraId="050BB98B" w14:textId="77777777" w:rsidR="00C945A6" w:rsidRPr="008F6A96" w:rsidRDefault="00C945A6" w:rsidP="0034260C">
            <w:pPr>
              <w:rPr>
                <w:color w:val="000000"/>
                <w:lang w:eastAsia="en-ID"/>
              </w:rPr>
            </w:pPr>
            <w:r w:rsidRPr="008F6A96">
              <w:rPr>
                <w:color w:val="000000"/>
                <w:lang w:eastAsia="en-ID"/>
              </w:rPr>
              <w:t>Scaled explained SS</w:t>
            </w:r>
          </w:p>
        </w:tc>
        <w:tc>
          <w:tcPr>
            <w:tcW w:w="1126" w:type="dxa"/>
            <w:tcBorders>
              <w:top w:val="nil"/>
              <w:left w:val="nil"/>
              <w:bottom w:val="single" w:sz="4" w:space="0" w:color="auto"/>
              <w:right w:val="nil"/>
            </w:tcBorders>
            <w:shd w:val="clear" w:color="auto" w:fill="auto"/>
            <w:noWrap/>
            <w:vAlign w:val="bottom"/>
            <w:hideMark/>
          </w:tcPr>
          <w:p w14:paraId="2DD9BCF9" w14:textId="77777777" w:rsidR="00C945A6" w:rsidRPr="008F6A96" w:rsidRDefault="00C945A6" w:rsidP="0034260C">
            <w:pPr>
              <w:jc w:val="right"/>
              <w:rPr>
                <w:color w:val="000000"/>
                <w:lang w:eastAsia="en-ID"/>
              </w:rPr>
            </w:pPr>
            <w:r w:rsidRPr="008F6A96">
              <w:rPr>
                <w:color w:val="000000"/>
                <w:lang w:eastAsia="en-ID"/>
              </w:rPr>
              <w:t>2</w:t>
            </w:r>
            <w:r>
              <w:rPr>
                <w:color w:val="000000"/>
                <w:lang w:eastAsia="en-ID"/>
              </w:rPr>
              <w:t>.</w:t>
            </w:r>
            <w:r w:rsidRPr="008F6A96">
              <w:rPr>
                <w:color w:val="000000"/>
                <w:lang w:eastAsia="en-ID"/>
              </w:rPr>
              <w:t>338762</w:t>
            </w:r>
          </w:p>
        </w:tc>
        <w:tc>
          <w:tcPr>
            <w:tcW w:w="2391" w:type="dxa"/>
            <w:tcBorders>
              <w:top w:val="nil"/>
              <w:left w:val="nil"/>
              <w:bottom w:val="single" w:sz="4" w:space="0" w:color="auto"/>
              <w:right w:val="nil"/>
            </w:tcBorders>
            <w:shd w:val="clear" w:color="auto" w:fill="auto"/>
            <w:noWrap/>
            <w:vAlign w:val="bottom"/>
            <w:hideMark/>
          </w:tcPr>
          <w:p w14:paraId="15336E22" w14:textId="77777777" w:rsidR="00C945A6" w:rsidRPr="008F6A96" w:rsidRDefault="00C945A6" w:rsidP="0034260C">
            <w:pPr>
              <w:rPr>
                <w:color w:val="000000"/>
                <w:lang w:eastAsia="en-ID"/>
              </w:rPr>
            </w:pPr>
            <w:r w:rsidRPr="008F6A96">
              <w:rPr>
                <w:color w:val="000000"/>
                <w:lang w:eastAsia="en-ID"/>
              </w:rPr>
              <w:t>Prob. Chi-Square</w:t>
            </w:r>
            <w:r>
              <w:rPr>
                <w:color w:val="000000"/>
                <w:lang w:eastAsia="en-ID"/>
              </w:rPr>
              <w:t xml:space="preserve"> </w:t>
            </w:r>
            <w:r w:rsidRPr="008F6A96">
              <w:rPr>
                <w:color w:val="000000"/>
                <w:lang w:eastAsia="en-ID"/>
              </w:rPr>
              <w:t>(7)</w:t>
            </w:r>
          </w:p>
        </w:tc>
        <w:tc>
          <w:tcPr>
            <w:tcW w:w="836" w:type="dxa"/>
            <w:tcBorders>
              <w:top w:val="nil"/>
              <w:left w:val="nil"/>
              <w:bottom w:val="single" w:sz="4" w:space="0" w:color="auto"/>
              <w:right w:val="nil"/>
            </w:tcBorders>
            <w:shd w:val="clear" w:color="auto" w:fill="auto"/>
            <w:noWrap/>
            <w:vAlign w:val="bottom"/>
            <w:hideMark/>
          </w:tcPr>
          <w:p w14:paraId="7114C160" w14:textId="77777777" w:rsidR="00C945A6" w:rsidRPr="008F6A96" w:rsidRDefault="00C945A6" w:rsidP="0034260C">
            <w:pPr>
              <w:jc w:val="right"/>
              <w:rPr>
                <w:color w:val="000000"/>
                <w:lang w:eastAsia="en-ID"/>
              </w:rPr>
            </w:pPr>
            <w:r w:rsidRPr="008F6A96">
              <w:rPr>
                <w:color w:val="000000"/>
                <w:lang w:eastAsia="en-ID"/>
              </w:rPr>
              <w:t>0,9387</w:t>
            </w:r>
          </w:p>
        </w:tc>
      </w:tr>
    </w:tbl>
    <w:p w14:paraId="1DBFC4FC" w14:textId="40164671" w:rsidR="00C945A6" w:rsidRPr="008C6D57" w:rsidRDefault="00C945A6" w:rsidP="00C945A6">
      <w:pPr>
        <w:jc w:val="both"/>
        <w:rPr>
          <w:i/>
          <w:iCs/>
        </w:rPr>
      </w:pPr>
      <w:r>
        <w:tab/>
      </w:r>
      <w:r w:rsidR="005B2B99" w:rsidRPr="008C6D57">
        <w:rPr>
          <w:rFonts w:eastAsiaTheme="minorEastAsia"/>
          <w:i/>
          <w:iCs/>
        </w:rPr>
        <w:t xml:space="preserve">Source: data processed using </w:t>
      </w:r>
      <w:proofErr w:type="spellStart"/>
      <w:r w:rsidR="005B2B99" w:rsidRPr="008C6D57">
        <w:rPr>
          <w:rFonts w:eastAsiaTheme="minorEastAsia"/>
          <w:i/>
          <w:iCs/>
        </w:rPr>
        <w:t>Eviews</w:t>
      </w:r>
      <w:proofErr w:type="spellEnd"/>
      <w:r w:rsidR="005B2B99" w:rsidRPr="008C6D57">
        <w:rPr>
          <w:rFonts w:eastAsiaTheme="minorEastAsia"/>
          <w:i/>
          <w:iCs/>
        </w:rPr>
        <w:t xml:space="preserve"> 12</w:t>
      </w:r>
    </w:p>
    <w:p w14:paraId="2542AADF" w14:textId="77777777" w:rsidR="006E4EB2" w:rsidRDefault="006E4EB2" w:rsidP="00DD5B91">
      <w:pPr>
        <w:ind w:firstLine="567"/>
        <w:jc w:val="both"/>
      </w:pPr>
    </w:p>
    <w:p w14:paraId="59F13EC8" w14:textId="3B820117" w:rsidR="005B2B99" w:rsidRDefault="005B2B99" w:rsidP="00276A89">
      <w:pPr>
        <w:ind w:firstLine="567"/>
        <w:jc w:val="both"/>
      </w:pPr>
      <w:r w:rsidRPr="00F34A91">
        <w:t xml:space="preserve">Referring to the provision that the chi-square probability value must be above 0.05, it can be seen in </w:t>
      </w:r>
      <w:r w:rsidR="007D517E">
        <w:t>T</w:t>
      </w:r>
      <w:r w:rsidRPr="00F34A91">
        <w:t xml:space="preserve">able 7 that the chi-square probability value is 0.6392 and 0.09387 &gt; 0.05, </w:t>
      </w:r>
      <w:r w:rsidR="007D517E">
        <w:t>so</w:t>
      </w:r>
      <w:r w:rsidRPr="00F34A91">
        <w:t xml:space="preserve"> it can be concluded that there is no heteroscedasticity problem. </w:t>
      </w:r>
    </w:p>
    <w:p w14:paraId="40392342" w14:textId="77777777" w:rsidR="006E4EB2" w:rsidRPr="00F34A91" w:rsidRDefault="006E4EB2" w:rsidP="00DD5B91">
      <w:pPr>
        <w:ind w:firstLine="567"/>
        <w:jc w:val="both"/>
      </w:pPr>
    </w:p>
    <w:p w14:paraId="28FDCC90" w14:textId="11FF8CB6" w:rsidR="00C945A6" w:rsidRDefault="005B2B99" w:rsidP="00C945A6">
      <w:pPr>
        <w:jc w:val="center"/>
        <w:rPr>
          <w:b/>
          <w:bCs/>
        </w:rPr>
      </w:pPr>
      <w:r w:rsidRPr="00F34A91">
        <w:rPr>
          <w:b/>
          <w:bCs/>
        </w:rPr>
        <w:t>Table 8. Autocorrelation Test</w:t>
      </w:r>
      <w:r w:rsidR="00C945A6">
        <w:rPr>
          <w:b/>
          <w:bCs/>
        </w:rPr>
        <w:t xml:space="preserve"> </w:t>
      </w:r>
    </w:p>
    <w:tbl>
      <w:tblPr>
        <w:tblW w:w="6761" w:type="dxa"/>
        <w:jc w:val="center"/>
        <w:tblLook w:val="04A0" w:firstRow="1" w:lastRow="0" w:firstColumn="1" w:lastColumn="0" w:noHBand="0" w:noVBand="1"/>
      </w:tblPr>
      <w:tblGrid>
        <w:gridCol w:w="2042"/>
        <w:gridCol w:w="1201"/>
        <w:gridCol w:w="2626"/>
        <w:gridCol w:w="892"/>
      </w:tblGrid>
      <w:tr w:rsidR="00C945A6" w:rsidRPr="00DD3232" w14:paraId="54FDB505" w14:textId="77777777" w:rsidTr="0034260C">
        <w:trPr>
          <w:trHeight w:val="280"/>
          <w:jc w:val="center"/>
        </w:trPr>
        <w:tc>
          <w:tcPr>
            <w:tcW w:w="6761" w:type="dxa"/>
            <w:gridSpan w:val="4"/>
            <w:tcBorders>
              <w:top w:val="single" w:sz="4" w:space="0" w:color="auto"/>
              <w:left w:val="nil"/>
              <w:bottom w:val="single" w:sz="4" w:space="0" w:color="auto"/>
              <w:right w:val="nil"/>
            </w:tcBorders>
            <w:shd w:val="clear" w:color="auto" w:fill="auto"/>
            <w:noWrap/>
            <w:vAlign w:val="center"/>
            <w:hideMark/>
          </w:tcPr>
          <w:p w14:paraId="2B9D84D5" w14:textId="77777777" w:rsidR="00C945A6" w:rsidRPr="00DD3232" w:rsidRDefault="00C945A6" w:rsidP="0034260C">
            <w:pPr>
              <w:rPr>
                <w:color w:val="000000"/>
                <w:lang w:eastAsia="en-ID"/>
              </w:rPr>
            </w:pPr>
            <w:r w:rsidRPr="00DD3232">
              <w:rPr>
                <w:color w:val="000000"/>
                <w:lang w:eastAsia="en-ID"/>
              </w:rPr>
              <w:t xml:space="preserve">Autocorelacy test </w:t>
            </w:r>
          </w:p>
        </w:tc>
      </w:tr>
      <w:tr w:rsidR="00C945A6" w:rsidRPr="00DD3232" w14:paraId="25F6EB17" w14:textId="77777777" w:rsidTr="0034260C">
        <w:trPr>
          <w:trHeight w:val="280"/>
          <w:jc w:val="center"/>
        </w:trPr>
        <w:tc>
          <w:tcPr>
            <w:tcW w:w="2042" w:type="dxa"/>
            <w:tcBorders>
              <w:top w:val="nil"/>
              <w:left w:val="nil"/>
              <w:right w:val="nil"/>
            </w:tcBorders>
            <w:shd w:val="clear" w:color="auto" w:fill="auto"/>
            <w:noWrap/>
            <w:vAlign w:val="bottom"/>
            <w:hideMark/>
          </w:tcPr>
          <w:p w14:paraId="24167243" w14:textId="77777777" w:rsidR="00C945A6" w:rsidRPr="00DD3232" w:rsidRDefault="00C945A6" w:rsidP="0034260C">
            <w:pPr>
              <w:rPr>
                <w:color w:val="000000"/>
                <w:lang w:eastAsia="en-ID"/>
              </w:rPr>
            </w:pPr>
            <w:r w:rsidRPr="00DD3232">
              <w:rPr>
                <w:color w:val="000000"/>
                <w:lang w:eastAsia="en-ID"/>
              </w:rPr>
              <w:t>F-statistic</w:t>
            </w:r>
          </w:p>
        </w:tc>
        <w:tc>
          <w:tcPr>
            <w:tcW w:w="1201" w:type="dxa"/>
            <w:tcBorders>
              <w:top w:val="nil"/>
              <w:left w:val="nil"/>
              <w:right w:val="nil"/>
            </w:tcBorders>
            <w:shd w:val="clear" w:color="auto" w:fill="auto"/>
            <w:noWrap/>
            <w:vAlign w:val="bottom"/>
            <w:hideMark/>
          </w:tcPr>
          <w:p w14:paraId="0C2A27F8" w14:textId="77777777" w:rsidR="00C945A6" w:rsidRPr="00DD3232" w:rsidRDefault="00C945A6" w:rsidP="0034260C">
            <w:pPr>
              <w:jc w:val="right"/>
              <w:rPr>
                <w:color w:val="000000"/>
                <w:lang w:eastAsia="en-ID"/>
              </w:rPr>
            </w:pPr>
            <w:r w:rsidRPr="00DD3232">
              <w:rPr>
                <w:color w:val="000000"/>
                <w:lang w:eastAsia="en-ID"/>
              </w:rPr>
              <w:t>0</w:t>
            </w:r>
            <w:r>
              <w:rPr>
                <w:color w:val="000000"/>
                <w:lang w:eastAsia="en-ID"/>
              </w:rPr>
              <w:t>.</w:t>
            </w:r>
            <w:r w:rsidRPr="00DD3232">
              <w:rPr>
                <w:color w:val="000000"/>
                <w:lang w:eastAsia="en-ID"/>
              </w:rPr>
              <w:t>044864</w:t>
            </w:r>
          </w:p>
        </w:tc>
        <w:tc>
          <w:tcPr>
            <w:tcW w:w="2626" w:type="dxa"/>
            <w:tcBorders>
              <w:top w:val="nil"/>
              <w:left w:val="nil"/>
              <w:right w:val="nil"/>
            </w:tcBorders>
            <w:shd w:val="clear" w:color="auto" w:fill="auto"/>
            <w:noWrap/>
            <w:vAlign w:val="bottom"/>
            <w:hideMark/>
          </w:tcPr>
          <w:p w14:paraId="484C0E57" w14:textId="77777777" w:rsidR="00C945A6" w:rsidRPr="00DD3232" w:rsidRDefault="00C945A6" w:rsidP="0034260C">
            <w:pPr>
              <w:rPr>
                <w:color w:val="000000"/>
                <w:lang w:eastAsia="en-ID"/>
              </w:rPr>
            </w:pPr>
            <w:r w:rsidRPr="00DD3232">
              <w:rPr>
                <w:color w:val="000000"/>
                <w:lang w:eastAsia="en-ID"/>
              </w:rPr>
              <w:t>Prob. F (2,19)</w:t>
            </w:r>
          </w:p>
        </w:tc>
        <w:tc>
          <w:tcPr>
            <w:tcW w:w="892" w:type="dxa"/>
            <w:tcBorders>
              <w:top w:val="nil"/>
              <w:left w:val="nil"/>
              <w:right w:val="nil"/>
            </w:tcBorders>
            <w:shd w:val="clear" w:color="auto" w:fill="auto"/>
            <w:noWrap/>
            <w:vAlign w:val="bottom"/>
            <w:hideMark/>
          </w:tcPr>
          <w:p w14:paraId="28CEF0C1" w14:textId="77777777" w:rsidR="00C945A6" w:rsidRPr="00DD3232" w:rsidRDefault="00C945A6" w:rsidP="0034260C">
            <w:pPr>
              <w:jc w:val="right"/>
              <w:rPr>
                <w:color w:val="000000"/>
                <w:lang w:eastAsia="en-ID"/>
              </w:rPr>
            </w:pPr>
            <w:r w:rsidRPr="00DD3232">
              <w:rPr>
                <w:color w:val="000000"/>
                <w:lang w:eastAsia="en-ID"/>
              </w:rPr>
              <w:t>0</w:t>
            </w:r>
            <w:r>
              <w:rPr>
                <w:color w:val="000000"/>
                <w:lang w:eastAsia="en-ID"/>
              </w:rPr>
              <w:t>.</w:t>
            </w:r>
            <w:r w:rsidRPr="00DD3232">
              <w:rPr>
                <w:color w:val="000000"/>
                <w:lang w:eastAsia="en-ID"/>
              </w:rPr>
              <w:t>9562</w:t>
            </w:r>
          </w:p>
        </w:tc>
      </w:tr>
      <w:tr w:rsidR="00C945A6" w:rsidRPr="00DD3232" w14:paraId="7D88F275" w14:textId="77777777" w:rsidTr="0034260C">
        <w:trPr>
          <w:trHeight w:val="280"/>
          <w:jc w:val="center"/>
        </w:trPr>
        <w:tc>
          <w:tcPr>
            <w:tcW w:w="2042" w:type="dxa"/>
            <w:tcBorders>
              <w:top w:val="nil"/>
              <w:left w:val="nil"/>
              <w:bottom w:val="single" w:sz="4" w:space="0" w:color="auto"/>
              <w:right w:val="nil"/>
            </w:tcBorders>
            <w:shd w:val="clear" w:color="auto" w:fill="auto"/>
            <w:noWrap/>
            <w:vAlign w:val="bottom"/>
            <w:hideMark/>
          </w:tcPr>
          <w:p w14:paraId="0CA59611" w14:textId="77777777" w:rsidR="00C945A6" w:rsidRPr="00DD3232" w:rsidRDefault="00C945A6" w:rsidP="0034260C">
            <w:pPr>
              <w:rPr>
                <w:color w:val="000000"/>
                <w:lang w:eastAsia="en-ID"/>
              </w:rPr>
            </w:pPr>
            <w:r w:rsidRPr="00DD3232">
              <w:rPr>
                <w:color w:val="000000"/>
                <w:lang w:eastAsia="en-ID"/>
              </w:rPr>
              <w:t xml:space="preserve">Obs *R-squared </w:t>
            </w:r>
          </w:p>
        </w:tc>
        <w:tc>
          <w:tcPr>
            <w:tcW w:w="1201" w:type="dxa"/>
            <w:tcBorders>
              <w:top w:val="nil"/>
              <w:left w:val="nil"/>
              <w:bottom w:val="single" w:sz="4" w:space="0" w:color="auto"/>
              <w:right w:val="nil"/>
            </w:tcBorders>
            <w:shd w:val="clear" w:color="auto" w:fill="auto"/>
            <w:noWrap/>
            <w:vAlign w:val="bottom"/>
            <w:hideMark/>
          </w:tcPr>
          <w:p w14:paraId="477AD34E" w14:textId="77777777" w:rsidR="00C945A6" w:rsidRPr="00DD3232" w:rsidRDefault="00C945A6" w:rsidP="0034260C">
            <w:pPr>
              <w:jc w:val="right"/>
              <w:rPr>
                <w:color w:val="000000"/>
                <w:lang w:eastAsia="en-ID"/>
              </w:rPr>
            </w:pPr>
            <w:r w:rsidRPr="00DD3232">
              <w:rPr>
                <w:color w:val="000000"/>
                <w:lang w:eastAsia="en-ID"/>
              </w:rPr>
              <w:t>0</w:t>
            </w:r>
            <w:r>
              <w:rPr>
                <w:color w:val="000000"/>
                <w:lang w:eastAsia="en-ID"/>
              </w:rPr>
              <w:t>.</w:t>
            </w:r>
            <w:r w:rsidRPr="00DD3232">
              <w:rPr>
                <w:color w:val="000000"/>
                <w:lang w:eastAsia="en-ID"/>
              </w:rPr>
              <w:t>136309</w:t>
            </w:r>
          </w:p>
        </w:tc>
        <w:tc>
          <w:tcPr>
            <w:tcW w:w="2626" w:type="dxa"/>
            <w:tcBorders>
              <w:top w:val="nil"/>
              <w:left w:val="nil"/>
              <w:bottom w:val="single" w:sz="4" w:space="0" w:color="auto"/>
              <w:right w:val="nil"/>
            </w:tcBorders>
            <w:shd w:val="clear" w:color="auto" w:fill="auto"/>
            <w:noWrap/>
            <w:vAlign w:val="bottom"/>
            <w:hideMark/>
          </w:tcPr>
          <w:p w14:paraId="4E093BF7" w14:textId="77777777" w:rsidR="00C945A6" w:rsidRPr="00DD3232" w:rsidRDefault="00C945A6" w:rsidP="0034260C">
            <w:pPr>
              <w:rPr>
                <w:color w:val="000000"/>
                <w:lang w:eastAsia="en-ID"/>
              </w:rPr>
            </w:pPr>
            <w:r w:rsidRPr="00DD3232">
              <w:rPr>
                <w:color w:val="000000"/>
                <w:lang w:eastAsia="en-ID"/>
              </w:rPr>
              <w:t>Prob. Chi-Square (2)</w:t>
            </w:r>
          </w:p>
        </w:tc>
        <w:tc>
          <w:tcPr>
            <w:tcW w:w="892" w:type="dxa"/>
            <w:tcBorders>
              <w:top w:val="nil"/>
              <w:left w:val="nil"/>
              <w:bottom w:val="single" w:sz="4" w:space="0" w:color="auto"/>
              <w:right w:val="nil"/>
            </w:tcBorders>
            <w:shd w:val="clear" w:color="auto" w:fill="auto"/>
            <w:noWrap/>
            <w:vAlign w:val="bottom"/>
            <w:hideMark/>
          </w:tcPr>
          <w:p w14:paraId="534E4A65" w14:textId="77777777" w:rsidR="00C945A6" w:rsidRPr="00DD3232" w:rsidRDefault="00C945A6" w:rsidP="0034260C">
            <w:pPr>
              <w:jc w:val="right"/>
              <w:rPr>
                <w:color w:val="000000"/>
                <w:lang w:eastAsia="en-ID"/>
              </w:rPr>
            </w:pPr>
            <w:r w:rsidRPr="00DD3232">
              <w:rPr>
                <w:color w:val="000000"/>
                <w:lang w:eastAsia="en-ID"/>
              </w:rPr>
              <w:t>0</w:t>
            </w:r>
            <w:r>
              <w:rPr>
                <w:color w:val="000000"/>
                <w:lang w:eastAsia="en-ID"/>
              </w:rPr>
              <w:t>.</w:t>
            </w:r>
            <w:r w:rsidRPr="00DD3232">
              <w:rPr>
                <w:color w:val="000000"/>
                <w:lang w:eastAsia="en-ID"/>
              </w:rPr>
              <w:t>9341</w:t>
            </w:r>
          </w:p>
        </w:tc>
      </w:tr>
    </w:tbl>
    <w:p w14:paraId="09CA76AE" w14:textId="58023C36" w:rsidR="00C945A6" w:rsidRPr="008C6D57" w:rsidRDefault="005B2B99" w:rsidP="00C945A6">
      <w:pPr>
        <w:ind w:firstLine="720"/>
        <w:jc w:val="both"/>
        <w:rPr>
          <w:i/>
          <w:iCs/>
        </w:rPr>
      </w:pPr>
      <w:r w:rsidRPr="008C6D57">
        <w:rPr>
          <w:rFonts w:eastAsiaTheme="minorEastAsia"/>
          <w:i/>
          <w:iCs/>
        </w:rPr>
        <w:t xml:space="preserve">Source: data processed using </w:t>
      </w:r>
      <w:proofErr w:type="spellStart"/>
      <w:r w:rsidRPr="008C6D57">
        <w:rPr>
          <w:rFonts w:eastAsiaTheme="minorEastAsia"/>
          <w:i/>
          <w:iCs/>
        </w:rPr>
        <w:t>Eviews</w:t>
      </w:r>
      <w:proofErr w:type="spellEnd"/>
      <w:r w:rsidRPr="008C6D57">
        <w:rPr>
          <w:rFonts w:eastAsiaTheme="minorEastAsia"/>
          <w:i/>
          <w:iCs/>
        </w:rPr>
        <w:t xml:space="preserve"> 12</w:t>
      </w:r>
    </w:p>
    <w:p w14:paraId="24AEF03F" w14:textId="77777777" w:rsidR="006E4EB2" w:rsidRDefault="006E4EB2" w:rsidP="00DD5B91">
      <w:pPr>
        <w:ind w:firstLine="567"/>
        <w:jc w:val="both"/>
      </w:pPr>
    </w:p>
    <w:p w14:paraId="3737B493" w14:textId="2CF855CF" w:rsidR="00C945A6" w:rsidRPr="00F34A91" w:rsidRDefault="005B2B99" w:rsidP="00DD5B91">
      <w:pPr>
        <w:ind w:firstLine="567"/>
        <w:jc w:val="both"/>
      </w:pPr>
      <w:r w:rsidRPr="00F34A91">
        <w:t xml:space="preserve">Referring to the provision that the chi-square probability value must be above 0.05, it can be seen in </w:t>
      </w:r>
      <w:r w:rsidR="007D517E">
        <w:t>T</w:t>
      </w:r>
      <w:r w:rsidRPr="00F34A91">
        <w:t xml:space="preserve">able 8 that the chi-square probability value is 0.9341 &gt; 0.05, </w:t>
      </w:r>
      <w:r w:rsidR="007D517E">
        <w:t>so</w:t>
      </w:r>
      <w:r w:rsidRPr="00F34A91">
        <w:t xml:space="preserve"> it can be concluded that there is no autocorrelation problem. </w:t>
      </w:r>
    </w:p>
    <w:p w14:paraId="6C513C75" w14:textId="77777777" w:rsidR="00697823" w:rsidRDefault="00697823" w:rsidP="00C945A6">
      <w:pPr>
        <w:jc w:val="both"/>
        <w:rPr>
          <w:b/>
          <w:bCs/>
        </w:rPr>
      </w:pPr>
    </w:p>
    <w:p w14:paraId="55DF03E2" w14:textId="77777777" w:rsidR="005B2B99" w:rsidRDefault="005B2B99" w:rsidP="00A23B7D">
      <w:pPr>
        <w:jc w:val="both"/>
        <w:rPr>
          <w:b/>
          <w:bCs/>
        </w:rPr>
      </w:pPr>
      <w:r>
        <w:rPr>
          <w:b/>
          <w:bCs/>
        </w:rPr>
        <w:t xml:space="preserve">Hypothesis Test and Model Significance </w:t>
      </w:r>
    </w:p>
    <w:p w14:paraId="67A4C892" w14:textId="7A462CF9" w:rsidR="005B2B99" w:rsidRDefault="005B2B99" w:rsidP="00A23B7D">
      <w:pPr>
        <w:ind w:firstLine="567"/>
        <w:jc w:val="both"/>
        <w:rPr>
          <w:i/>
          <w:iCs/>
        </w:rPr>
      </w:pPr>
      <w:r w:rsidRPr="00554714">
        <w:t>In this study, based on the assumption that t count has an effect if t count is greater than t table and has no effect if t count is lower than t table</w:t>
      </w:r>
      <w:r w:rsidR="007D517E">
        <w:t>,</w:t>
      </w:r>
      <w:r w:rsidRPr="00554714">
        <w:t xml:space="preserve"> </w:t>
      </w:r>
      <w:r w:rsidR="007D517E">
        <w:t>w</w:t>
      </w:r>
      <w:r w:rsidRPr="00554714">
        <w:t xml:space="preserve">ith t table of 2.068658. Referring to the t-statistical test of long-term regression results, it is known that several independent variables have a significant effect on </w:t>
      </w:r>
      <w:r w:rsidRPr="007863F9">
        <w:rPr>
          <w:i/>
          <w:iCs/>
        </w:rPr>
        <w:t>money supply</w:t>
      </w:r>
      <w:r w:rsidR="007D517E">
        <w:t>.</w:t>
      </w:r>
      <w:r w:rsidRPr="00554714">
        <w:t xml:space="preserve"> </w:t>
      </w:r>
      <w:r w:rsidR="007D517E">
        <w:t>T</w:t>
      </w:r>
      <w:r w:rsidRPr="00554714">
        <w:t xml:space="preserve">here are also several variables that do not have a significant effect on </w:t>
      </w:r>
      <w:r w:rsidRPr="007863F9">
        <w:rPr>
          <w:i/>
          <w:iCs/>
        </w:rPr>
        <w:t>money supply.</w:t>
      </w:r>
    </w:p>
    <w:p w14:paraId="7138452A" w14:textId="16C24E14" w:rsidR="003453FC" w:rsidRDefault="003453FC" w:rsidP="00A23B7D">
      <w:pPr>
        <w:ind w:firstLine="567"/>
        <w:jc w:val="both"/>
        <w:rPr>
          <w:i/>
          <w:iCs/>
        </w:rPr>
      </w:pPr>
    </w:p>
    <w:p w14:paraId="373A0572" w14:textId="77777777" w:rsidR="003453FC" w:rsidRDefault="003453FC" w:rsidP="00A23B7D">
      <w:pPr>
        <w:ind w:firstLine="567"/>
        <w:jc w:val="both"/>
        <w:rPr>
          <w:i/>
          <w:iCs/>
        </w:rPr>
      </w:pPr>
    </w:p>
    <w:p w14:paraId="42EBF25F" w14:textId="77777777" w:rsidR="006E4EB2" w:rsidRPr="007863F9" w:rsidRDefault="006E4EB2" w:rsidP="00DD5B91">
      <w:pPr>
        <w:ind w:firstLine="567"/>
        <w:jc w:val="both"/>
        <w:rPr>
          <w:rFonts w:asciiTheme="majorBidi" w:hAnsiTheme="majorBidi" w:cstheme="majorBidi"/>
          <w:i/>
          <w:iCs/>
          <w:w w:val="115"/>
        </w:rPr>
      </w:pPr>
    </w:p>
    <w:p w14:paraId="0339CC7D" w14:textId="352FEFE2" w:rsidR="00C945A6" w:rsidRPr="001543E3" w:rsidRDefault="005B2B99" w:rsidP="00C945A6">
      <w:pPr>
        <w:jc w:val="center"/>
        <w:rPr>
          <w:w w:val="115"/>
        </w:rPr>
      </w:pPr>
      <w:r>
        <w:rPr>
          <w:b/>
          <w:bCs/>
          <w:w w:val="115"/>
        </w:rPr>
        <w:lastRenderedPageBreak/>
        <w:t>Table 9. t-Test-Statistics- Long-Term</w:t>
      </w:r>
    </w:p>
    <w:tbl>
      <w:tblPr>
        <w:tblW w:w="7371" w:type="dxa"/>
        <w:jc w:val="center"/>
        <w:tblLook w:val="04A0" w:firstRow="1" w:lastRow="0" w:firstColumn="1" w:lastColumn="0" w:noHBand="0" w:noVBand="1"/>
      </w:tblPr>
      <w:tblGrid>
        <w:gridCol w:w="1043"/>
        <w:gridCol w:w="1420"/>
        <w:gridCol w:w="1363"/>
        <w:gridCol w:w="3545"/>
      </w:tblGrid>
      <w:tr w:rsidR="00C945A6" w:rsidRPr="00D544C6" w14:paraId="612D4FFD" w14:textId="77777777" w:rsidTr="00C945A6">
        <w:trPr>
          <w:trHeight w:val="280"/>
          <w:jc w:val="center"/>
        </w:trPr>
        <w:tc>
          <w:tcPr>
            <w:tcW w:w="1043" w:type="dxa"/>
            <w:tcBorders>
              <w:top w:val="single" w:sz="4" w:space="0" w:color="auto"/>
              <w:left w:val="nil"/>
              <w:bottom w:val="single" w:sz="4" w:space="0" w:color="auto"/>
              <w:right w:val="nil"/>
            </w:tcBorders>
            <w:shd w:val="clear" w:color="auto" w:fill="auto"/>
            <w:noWrap/>
            <w:vAlign w:val="center"/>
            <w:hideMark/>
          </w:tcPr>
          <w:p w14:paraId="5B667DFF" w14:textId="62072A1C" w:rsidR="00C945A6" w:rsidRPr="00D544C6" w:rsidRDefault="00C945A6" w:rsidP="0034260C">
            <w:pPr>
              <w:jc w:val="center"/>
              <w:rPr>
                <w:color w:val="000000"/>
                <w:lang w:eastAsia="en-ID"/>
              </w:rPr>
            </w:pPr>
            <w:r w:rsidRPr="00D544C6">
              <w:rPr>
                <w:color w:val="000000"/>
                <w:lang w:eastAsia="en-ID"/>
              </w:rPr>
              <w:t>Variabl</w:t>
            </w:r>
            <w:r w:rsidR="005B2B99">
              <w:rPr>
                <w:color w:val="000000"/>
                <w:lang w:eastAsia="en-ID"/>
              </w:rPr>
              <w:t>e</w:t>
            </w:r>
            <w:r w:rsidRPr="00D544C6">
              <w:rPr>
                <w:color w:val="000000"/>
                <w:lang w:eastAsia="en-ID"/>
              </w:rPr>
              <w:t xml:space="preserve">  </w:t>
            </w:r>
          </w:p>
        </w:tc>
        <w:tc>
          <w:tcPr>
            <w:tcW w:w="1420" w:type="dxa"/>
            <w:tcBorders>
              <w:top w:val="single" w:sz="4" w:space="0" w:color="auto"/>
              <w:left w:val="nil"/>
              <w:bottom w:val="single" w:sz="4" w:space="0" w:color="auto"/>
              <w:right w:val="nil"/>
            </w:tcBorders>
            <w:shd w:val="clear" w:color="auto" w:fill="auto"/>
            <w:noWrap/>
            <w:vAlign w:val="center"/>
            <w:hideMark/>
          </w:tcPr>
          <w:p w14:paraId="05FC8E63" w14:textId="77777777" w:rsidR="00C945A6" w:rsidRPr="00D544C6" w:rsidRDefault="00C945A6" w:rsidP="0034260C">
            <w:pPr>
              <w:jc w:val="center"/>
              <w:rPr>
                <w:color w:val="000000"/>
                <w:lang w:eastAsia="en-ID"/>
              </w:rPr>
            </w:pPr>
            <w:r w:rsidRPr="00D544C6">
              <w:rPr>
                <w:color w:val="000000"/>
                <w:lang w:eastAsia="en-ID"/>
              </w:rPr>
              <w:t xml:space="preserve">Coefficient </w:t>
            </w:r>
          </w:p>
        </w:tc>
        <w:tc>
          <w:tcPr>
            <w:tcW w:w="1363" w:type="dxa"/>
            <w:tcBorders>
              <w:top w:val="single" w:sz="4" w:space="0" w:color="auto"/>
              <w:left w:val="nil"/>
              <w:bottom w:val="single" w:sz="4" w:space="0" w:color="auto"/>
              <w:right w:val="nil"/>
            </w:tcBorders>
            <w:shd w:val="clear" w:color="auto" w:fill="auto"/>
            <w:noWrap/>
            <w:vAlign w:val="center"/>
            <w:hideMark/>
          </w:tcPr>
          <w:p w14:paraId="44EF21EA" w14:textId="77777777" w:rsidR="00C945A6" w:rsidRPr="00D544C6" w:rsidRDefault="00C945A6" w:rsidP="0034260C">
            <w:pPr>
              <w:jc w:val="center"/>
              <w:rPr>
                <w:color w:val="000000"/>
                <w:lang w:eastAsia="en-ID"/>
              </w:rPr>
            </w:pPr>
            <w:r w:rsidRPr="00D544C6">
              <w:rPr>
                <w:color w:val="000000"/>
                <w:lang w:eastAsia="en-ID"/>
              </w:rPr>
              <w:t xml:space="preserve">Probabilitas </w:t>
            </w:r>
          </w:p>
        </w:tc>
        <w:tc>
          <w:tcPr>
            <w:tcW w:w="3545" w:type="dxa"/>
            <w:tcBorders>
              <w:top w:val="single" w:sz="4" w:space="0" w:color="auto"/>
              <w:left w:val="nil"/>
              <w:bottom w:val="single" w:sz="4" w:space="0" w:color="auto"/>
              <w:right w:val="nil"/>
            </w:tcBorders>
            <w:shd w:val="clear" w:color="auto" w:fill="auto"/>
            <w:noWrap/>
            <w:vAlign w:val="center"/>
            <w:hideMark/>
          </w:tcPr>
          <w:p w14:paraId="24F4DF75" w14:textId="77777777" w:rsidR="00C945A6" w:rsidRPr="00D544C6" w:rsidRDefault="00C945A6" w:rsidP="0034260C">
            <w:pPr>
              <w:jc w:val="center"/>
              <w:rPr>
                <w:color w:val="000000"/>
                <w:lang w:eastAsia="en-ID"/>
              </w:rPr>
            </w:pPr>
            <w:r w:rsidRPr="00D544C6">
              <w:rPr>
                <w:color w:val="000000"/>
                <w:lang w:eastAsia="en-ID"/>
              </w:rPr>
              <w:t>Ket</w:t>
            </w:r>
          </w:p>
        </w:tc>
      </w:tr>
      <w:tr w:rsidR="00C945A6" w:rsidRPr="00D544C6" w14:paraId="4AC6EB23" w14:textId="77777777" w:rsidTr="00C945A6">
        <w:trPr>
          <w:trHeight w:val="280"/>
          <w:jc w:val="center"/>
        </w:trPr>
        <w:tc>
          <w:tcPr>
            <w:tcW w:w="1043" w:type="dxa"/>
            <w:tcBorders>
              <w:top w:val="nil"/>
              <w:left w:val="nil"/>
              <w:bottom w:val="nil"/>
              <w:right w:val="nil"/>
            </w:tcBorders>
            <w:shd w:val="clear" w:color="auto" w:fill="auto"/>
            <w:noWrap/>
            <w:vAlign w:val="bottom"/>
            <w:hideMark/>
          </w:tcPr>
          <w:p w14:paraId="22627780" w14:textId="77777777" w:rsidR="00C945A6" w:rsidRPr="00D544C6" w:rsidRDefault="00C945A6" w:rsidP="0034260C">
            <w:pPr>
              <w:rPr>
                <w:color w:val="000000"/>
                <w:lang w:eastAsia="en-ID"/>
              </w:rPr>
            </w:pPr>
            <w:r w:rsidRPr="00D544C6">
              <w:rPr>
                <w:color w:val="000000"/>
                <w:lang w:eastAsia="en-ID"/>
              </w:rPr>
              <w:t>ER</w:t>
            </w:r>
          </w:p>
        </w:tc>
        <w:tc>
          <w:tcPr>
            <w:tcW w:w="1420" w:type="dxa"/>
            <w:tcBorders>
              <w:top w:val="nil"/>
              <w:left w:val="nil"/>
              <w:bottom w:val="nil"/>
              <w:right w:val="nil"/>
            </w:tcBorders>
            <w:shd w:val="clear" w:color="auto" w:fill="auto"/>
            <w:noWrap/>
            <w:vAlign w:val="bottom"/>
            <w:hideMark/>
          </w:tcPr>
          <w:p w14:paraId="368F3421" w14:textId="77777777" w:rsidR="00C945A6" w:rsidRPr="00D544C6" w:rsidRDefault="00C945A6" w:rsidP="0034260C">
            <w:pPr>
              <w:jc w:val="right"/>
              <w:rPr>
                <w:color w:val="000000"/>
                <w:lang w:eastAsia="en-ID"/>
              </w:rPr>
            </w:pPr>
            <w:r w:rsidRPr="00D544C6">
              <w:rPr>
                <w:color w:val="000000"/>
                <w:lang w:eastAsia="en-ID"/>
              </w:rPr>
              <w:t>-0</w:t>
            </w:r>
            <w:r>
              <w:rPr>
                <w:color w:val="000000"/>
                <w:lang w:eastAsia="en-ID"/>
              </w:rPr>
              <w:t>.</w:t>
            </w:r>
            <w:r w:rsidRPr="00D544C6">
              <w:rPr>
                <w:color w:val="000000"/>
                <w:lang w:eastAsia="en-ID"/>
              </w:rPr>
              <w:t>001607</w:t>
            </w:r>
          </w:p>
        </w:tc>
        <w:tc>
          <w:tcPr>
            <w:tcW w:w="1363" w:type="dxa"/>
            <w:tcBorders>
              <w:top w:val="nil"/>
              <w:left w:val="nil"/>
              <w:bottom w:val="nil"/>
              <w:right w:val="nil"/>
            </w:tcBorders>
            <w:shd w:val="clear" w:color="auto" w:fill="auto"/>
            <w:noWrap/>
            <w:vAlign w:val="bottom"/>
            <w:hideMark/>
          </w:tcPr>
          <w:p w14:paraId="2ECFAC88" w14:textId="77777777" w:rsidR="00C945A6" w:rsidRPr="00D544C6" w:rsidRDefault="00C945A6" w:rsidP="0034260C">
            <w:pPr>
              <w:jc w:val="right"/>
              <w:rPr>
                <w:color w:val="000000"/>
                <w:lang w:eastAsia="en-ID"/>
              </w:rPr>
            </w:pPr>
            <w:r w:rsidRPr="00D544C6">
              <w:rPr>
                <w:color w:val="000000"/>
                <w:lang w:eastAsia="en-ID"/>
              </w:rPr>
              <w:t>0</w:t>
            </w:r>
            <w:r>
              <w:rPr>
                <w:color w:val="000000"/>
                <w:lang w:eastAsia="en-ID"/>
              </w:rPr>
              <w:t>.</w:t>
            </w:r>
            <w:r w:rsidRPr="00D544C6">
              <w:rPr>
                <w:color w:val="000000"/>
                <w:lang w:eastAsia="en-ID"/>
              </w:rPr>
              <w:t>0000</w:t>
            </w:r>
          </w:p>
        </w:tc>
        <w:tc>
          <w:tcPr>
            <w:tcW w:w="3545" w:type="dxa"/>
            <w:tcBorders>
              <w:top w:val="nil"/>
              <w:left w:val="nil"/>
              <w:bottom w:val="nil"/>
              <w:right w:val="nil"/>
            </w:tcBorders>
            <w:shd w:val="clear" w:color="auto" w:fill="auto"/>
            <w:noWrap/>
            <w:vAlign w:val="bottom"/>
            <w:hideMark/>
          </w:tcPr>
          <w:p w14:paraId="701AAF60" w14:textId="2A3CA755" w:rsidR="00C945A6" w:rsidRPr="00D544C6" w:rsidRDefault="005B2B99" w:rsidP="0034260C">
            <w:pPr>
              <w:rPr>
                <w:color w:val="000000"/>
                <w:lang w:eastAsia="en-ID"/>
              </w:rPr>
            </w:pPr>
            <w:r w:rsidRPr="00D544C6">
              <w:rPr>
                <w:color w:val="000000"/>
                <w:lang w:eastAsia="en-ID"/>
              </w:rPr>
              <w:t>Significant negative effects</w:t>
            </w:r>
            <w:r w:rsidR="00C945A6" w:rsidRPr="00D544C6">
              <w:rPr>
                <w:color w:val="000000"/>
                <w:lang w:eastAsia="en-ID"/>
              </w:rPr>
              <w:t xml:space="preserve"> </w:t>
            </w:r>
          </w:p>
        </w:tc>
      </w:tr>
      <w:tr w:rsidR="00C945A6" w:rsidRPr="00D544C6" w14:paraId="462B248D" w14:textId="77777777" w:rsidTr="00C945A6">
        <w:trPr>
          <w:trHeight w:val="280"/>
          <w:jc w:val="center"/>
        </w:trPr>
        <w:tc>
          <w:tcPr>
            <w:tcW w:w="1043" w:type="dxa"/>
            <w:tcBorders>
              <w:top w:val="nil"/>
              <w:left w:val="nil"/>
              <w:bottom w:val="nil"/>
              <w:right w:val="nil"/>
            </w:tcBorders>
            <w:shd w:val="clear" w:color="auto" w:fill="auto"/>
            <w:noWrap/>
            <w:vAlign w:val="bottom"/>
            <w:hideMark/>
          </w:tcPr>
          <w:p w14:paraId="4C3781E5" w14:textId="77777777" w:rsidR="00C945A6" w:rsidRPr="00D544C6" w:rsidRDefault="00C945A6" w:rsidP="0034260C">
            <w:pPr>
              <w:rPr>
                <w:color w:val="000000"/>
                <w:lang w:eastAsia="en-ID"/>
              </w:rPr>
            </w:pPr>
            <w:r w:rsidRPr="00D544C6">
              <w:rPr>
                <w:color w:val="000000"/>
                <w:lang w:eastAsia="en-ID"/>
              </w:rPr>
              <w:t>FDI</w:t>
            </w:r>
          </w:p>
        </w:tc>
        <w:tc>
          <w:tcPr>
            <w:tcW w:w="1420" w:type="dxa"/>
            <w:tcBorders>
              <w:top w:val="nil"/>
              <w:left w:val="nil"/>
              <w:bottom w:val="nil"/>
              <w:right w:val="nil"/>
            </w:tcBorders>
            <w:shd w:val="clear" w:color="auto" w:fill="auto"/>
            <w:noWrap/>
            <w:vAlign w:val="bottom"/>
            <w:hideMark/>
          </w:tcPr>
          <w:p w14:paraId="087F026A" w14:textId="77777777" w:rsidR="00C945A6" w:rsidRPr="00D544C6" w:rsidRDefault="00C945A6" w:rsidP="0034260C">
            <w:pPr>
              <w:jc w:val="right"/>
              <w:rPr>
                <w:color w:val="000000"/>
                <w:lang w:eastAsia="en-ID"/>
              </w:rPr>
            </w:pPr>
            <w:r w:rsidRPr="00D544C6">
              <w:rPr>
                <w:color w:val="000000"/>
                <w:lang w:eastAsia="en-ID"/>
              </w:rPr>
              <w:t>1</w:t>
            </w:r>
            <w:r>
              <w:rPr>
                <w:color w:val="000000"/>
                <w:lang w:eastAsia="en-ID"/>
              </w:rPr>
              <w:t>.</w:t>
            </w:r>
            <w:r w:rsidRPr="00D544C6">
              <w:rPr>
                <w:color w:val="000000"/>
                <w:lang w:eastAsia="en-ID"/>
              </w:rPr>
              <w:t>977782</w:t>
            </w:r>
          </w:p>
        </w:tc>
        <w:tc>
          <w:tcPr>
            <w:tcW w:w="1363" w:type="dxa"/>
            <w:tcBorders>
              <w:top w:val="nil"/>
              <w:left w:val="nil"/>
              <w:bottom w:val="nil"/>
              <w:right w:val="nil"/>
            </w:tcBorders>
            <w:shd w:val="clear" w:color="auto" w:fill="auto"/>
            <w:noWrap/>
            <w:vAlign w:val="bottom"/>
            <w:hideMark/>
          </w:tcPr>
          <w:p w14:paraId="0B8C5648" w14:textId="77777777" w:rsidR="00C945A6" w:rsidRPr="00D544C6" w:rsidRDefault="00C945A6" w:rsidP="0034260C">
            <w:pPr>
              <w:jc w:val="right"/>
              <w:rPr>
                <w:color w:val="000000"/>
                <w:lang w:eastAsia="en-ID"/>
              </w:rPr>
            </w:pPr>
            <w:r w:rsidRPr="00D544C6">
              <w:rPr>
                <w:color w:val="000000"/>
                <w:lang w:eastAsia="en-ID"/>
              </w:rPr>
              <w:t>0</w:t>
            </w:r>
            <w:r>
              <w:rPr>
                <w:color w:val="000000"/>
                <w:lang w:eastAsia="en-ID"/>
              </w:rPr>
              <w:t>.</w:t>
            </w:r>
            <w:r w:rsidRPr="00D544C6">
              <w:rPr>
                <w:color w:val="000000"/>
                <w:lang w:eastAsia="en-ID"/>
              </w:rPr>
              <w:t>0059</w:t>
            </w:r>
          </w:p>
        </w:tc>
        <w:tc>
          <w:tcPr>
            <w:tcW w:w="3545" w:type="dxa"/>
            <w:tcBorders>
              <w:top w:val="nil"/>
              <w:left w:val="nil"/>
              <w:bottom w:val="nil"/>
              <w:right w:val="nil"/>
            </w:tcBorders>
            <w:shd w:val="clear" w:color="auto" w:fill="auto"/>
            <w:noWrap/>
            <w:vAlign w:val="bottom"/>
            <w:hideMark/>
          </w:tcPr>
          <w:p w14:paraId="21D6BD5C" w14:textId="28AB3325" w:rsidR="00C945A6" w:rsidRPr="00D544C6" w:rsidRDefault="00CA24A6" w:rsidP="0034260C">
            <w:pPr>
              <w:rPr>
                <w:color w:val="000000"/>
                <w:lang w:eastAsia="en-ID"/>
              </w:rPr>
            </w:pPr>
            <w:r w:rsidRPr="00D544C6">
              <w:rPr>
                <w:color w:val="000000"/>
                <w:lang w:eastAsia="en-ID"/>
              </w:rPr>
              <w:t xml:space="preserve">Significant positive effect </w:t>
            </w:r>
          </w:p>
        </w:tc>
      </w:tr>
      <w:tr w:rsidR="00C945A6" w:rsidRPr="00D544C6" w14:paraId="166E25CA" w14:textId="77777777" w:rsidTr="00C945A6">
        <w:trPr>
          <w:trHeight w:val="280"/>
          <w:jc w:val="center"/>
        </w:trPr>
        <w:tc>
          <w:tcPr>
            <w:tcW w:w="1043" w:type="dxa"/>
            <w:tcBorders>
              <w:top w:val="nil"/>
              <w:left w:val="nil"/>
              <w:bottom w:val="nil"/>
              <w:right w:val="nil"/>
            </w:tcBorders>
            <w:shd w:val="clear" w:color="auto" w:fill="auto"/>
            <w:noWrap/>
            <w:vAlign w:val="bottom"/>
            <w:hideMark/>
          </w:tcPr>
          <w:p w14:paraId="0025FC8F" w14:textId="77777777" w:rsidR="00C945A6" w:rsidRPr="00D544C6" w:rsidRDefault="00C945A6" w:rsidP="0034260C">
            <w:pPr>
              <w:rPr>
                <w:color w:val="000000"/>
                <w:lang w:eastAsia="en-ID"/>
              </w:rPr>
            </w:pPr>
            <w:r w:rsidRPr="00D544C6">
              <w:rPr>
                <w:color w:val="000000"/>
                <w:lang w:eastAsia="en-ID"/>
              </w:rPr>
              <w:t>GDP</w:t>
            </w:r>
          </w:p>
        </w:tc>
        <w:tc>
          <w:tcPr>
            <w:tcW w:w="1420" w:type="dxa"/>
            <w:tcBorders>
              <w:top w:val="nil"/>
              <w:left w:val="nil"/>
              <w:bottom w:val="nil"/>
              <w:right w:val="nil"/>
            </w:tcBorders>
            <w:shd w:val="clear" w:color="auto" w:fill="auto"/>
            <w:noWrap/>
            <w:vAlign w:val="bottom"/>
            <w:hideMark/>
          </w:tcPr>
          <w:p w14:paraId="4C56AA6D" w14:textId="77777777" w:rsidR="00C945A6" w:rsidRPr="00D544C6" w:rsidRDefault="00C945A6" w:rsidP="0034260C">
            <w:pPr>
              <w:jc w:val="right"/>
              <w:rPr>
                <w:color w:val="000000"/>
                <w:lang w:eastAsia="en-ID"/>
              </w:rPr>
            </w:pPr>
            <w:r w:rsidRPr="00D544C6">
              <w:rPr>
                <w:color w:val="000000"/>
                <w:lang w:eastAsia="en-ID"/>
              </w:rPr>
              <w:t>-1</w:t>
            </w:r>
            <w:r>
              <w:rPr>
                <w:color w:val="000000"/>
                <w:lang w:eastAsia="en-ID"/>
              </w:rPr>
              <w:t>.</w:t>
            </w:r>
            <w:r w:rsidRPr="00D544C6">
              <w:rPr>
                <w:color w:val="000000"/>
                <w:lang w:eastAsia="en-ID"/>
              </w:rPr>
              <w:t>556494</w:t>
            </w:r>
          </w:p>
        </w:tc>
        <w:tc>
          <w:tcPr>
            <w:tcW w:w="1363" w:type="dxa"/>
            <w:tcBorders>
              <w:top w:val="nil"/>
              <w:left w:val="nil"/>
              <w:bottom w:val="nil"/>
              <w:right w:val="nil"/>
            </w:tcBorders>
            <w:shd w:val="clear" w:color="auto" w:fill="auto"/>
            <w:noWrap/>
            <w:vAlign w:val="bottom"/>
            <w:hideMark/>
          </w:tcPr>
          <w:p w14:paraId="33D50572" w14:textId="77777777" w:rsidR="00C945A6" w:rsidRPr="00D544C6" w:rsidRDefault="00C945A6" w:rsidP="0034260C">
            <w:pPr>
              <w:jc w:val="right"/>
              <w:rPr>
                <w:color w:val="000000"/>
                <w:lang w:eastAsia="en-ID"/>
              </w:rPr>
            </w:pPr>
            <w:r w:rsidRPr="00D544C6">
              <w:rPr>
                <w:color w:val="000000"/>
                <w:lang w:eastAsia="en-ID"/>
              </w:rPr>
              <w:t>0</w:t>
            </w:r>
            <w:r>
              <w:rPr>
                <w:color w:val="000000"/>
                <w:lang w:eastAsia="en-ID"/>
              </w:rPr>
              <w:t>.</w:t>
            </w:r>
            <w:r w:rsidRPr="00D544C6">
              <w:rPr>
                <w:color w:val="000000"/>
                <w:lang w:eastAsia="en-ID"/>
              </w:rPr>
              <w:t>0009</w:t>
            </w:r>
          </w:p>
        </w:tc>
        <w:tc>
          <w:tcPr>
            <w:tcW w:w="3545" w:type="dxa"/>
            <w:tcBorders>
              <w:top w:val="nil"/>
              <w:left w:val="nil"/>
              <w:bottom w:val="nil"/>
              <w:right w:val="nil"/>
            </w:tcBorders>
            <w:shd w:val="clear" w:color="auto" w:fill="auto"/>
            <w:noWrap/>
            <w:vAlign w:val="bottom"/>
            <w:hideMark/>
          </w:tcPr>
          <w:p w14:paraId="0E3EB338" w14:textId="463F771C" w:rsidR="00C945A6" w:rsidRPr="00D544C6" w:rsidRDefault="00CA24A6" w:rsidP="0034260C">
            <w:pPr>
              <w:rPr>
                <w:color w:val="000000"/>
                <w:lang w:eastAsia="en-ID"/>
              </w:rPr>
            </w:pPr>
            <w:r w:rsidRPr="00D544C6">
              <w:rPr>
                <w:color w:val="000000"/>
                <w:lang w:eastAsia="en-ID"/>
              </w:rPr>
              <w:t xml:space="preserve">Significant negative effects </w:t>
            </w:r>
          </w:p>
        </w:tc>
      </w:tr>
      <w:tr w:rsidR="00C945A6" w:rsidRPr="00D544C6" w14:paraId="11D303B9" w14:textId="77777777" w:rsidTr="00C945A6">
        <w:trPr>
          <w:trHeight w:val="280"/>
          <w:jc w:val="center"/>
        </w:trPr>
        <w:tc>
          <w:tcPr>
            <w:tcW w:w="1043" w:type="dxa"/>
            <w:tcBorders>
              <w:top w:val="nil"/>
              <w:left w:val="nil"/>
              <w:bottom w:val="nil"/>
              <w:right w:val="nil"/>
            </w:tcBorders>
            <w:shd w:val="clear" w:color="auto" w:fill="auto"/>
            <w:noWrap/>
            <w:vAlign w:val="bottom"/>
            <w:hideMark/>
          </w:tcPr>
          <w:p w14:paraId="1AAC83F0" w14:textId="77777777" w:rsidR="00C945A6" w:rsidRPr="00D544C6" w:rsidRDefault="00C945A6" w:rsidP="0034260C">
            <w:pPr>
              <w:rPr>
                <w:color w:val="000000"/>
                <w:lang w:eastAsia="en-ID"/>
              </w:rPr>
            </w:pPr>
            <w:r w:rsidRPr="00D544C6">
              <w:rPr>
                <w:color w:val="000000"/>
                <w:lang w:eastAsia="en-ID"/>
              </w:rPr>
              <w:t>GE</w:t>
            </w:r>
          </w:p>
        </w:tc>
        <w:tc>
          <w:tcPr>
            <w:tcW w:w="1420" w:type="dxa"/>
            <w:tcBorders>
              <w:top w:val="nil"/>
              <w:left w:val="nil"/>
              <w:bottom w:val="nil"/>
              <w:right w:val="nil"/>
            </w:tcBorders>
            <w:shd w:val="clear" w:color="auto" w:fill="auto"/>
            <w:noWrap/>
            <w:vAlign w:val="bottom"/>
            <w:hideMark/>
          </w:tcPr>
          <w:p w14:paraId="674E4196" w14:textId="77777777" w:rsidR="00C945A6" w:rsidRPr="00D544C6" w:rsidRDefault="00C945A6" w:rsidP="0034260C">
            <w:pPr>
              <w:jc w:val="right"/>
              <w:rPr>
                <w:color w:val="000000"/>
                <w:lang w:eastAsia="en-ID"/>
              </w:rPr>
            </w:pPr>
            <w:r w:rsidRPr="00D544C6">
              <w:rPr>
                <w:color w:val="000000"/>
                <w:lang w:eastAsia="en-ID"/>
              </w:rPr>
              <w:t>-0</w:t>
            </w:r>
            <w:r>
              <w:rPr>
                <w:color w:val="000000"/>
                <w:lang w:eastAsia="en-ID"/>
              </w:rPr>
              <w:t>.</w:t>
            </w:r>
            <w:r w:rsidRPr="00D544C6">
              <w:rPr>
                <w:color w:val="000000"/>
                <w:lang w:eastAsia="en-ID"/>
              </w:rPr>
              <w:t>502535</w:t>
            </w:r>
          </w:p>
        </w:tc>
        <w:tc>
          <w:tcPr>
            <w:tcW w:w="1363" w:type="dxa"/>
            <w:tcBorders>
              <w:top w:val="nil"/>
              <w:left w:val="nil"/>
              <w:bottom w:val="nil"/>
              <w:right w:val="nil"/>
            </w:tcBorders>
            <w:shd w:val="clear" w:color="auto" w:fill="auto"/>
            <w:noWrap/>
            <w:vAlign w:val="bottom"/>
            <w:hideMark/>
          </w:tcPr>
          <w:p w14:paraId="4037088F" w14:textId="77777777" w:rsidR="00C945A6" w:rsidRPr="00D544C6" w:rsidRDefault="00C945A6" w:rsidP="0034260C">
            <w:pPr>
              <w:jc w:val="right"/>
              <w:rPr>
                <w:color w:val="000000"/>
                <w:lang w:eastAsia="en-ID"/>
              </w:rPr>
            </w:pPr>
            <w:r w:rsidRPr="00D544C6">
              <w:rPr>
                <w:color w:val="000000"/>
                <w:lang w:eastAsia="en-ID"/>
              </w:rPr>
              <w:t>0</w:t>
            </w:r>
            <w:r>
              <w:rPr>
                <w:color w:val="000000"/>
                <w:lang w:eastAsia="en-ID"/>
              </w:rPr>
              <w:t>.</w:t>
            </w:r>
            <w:r w:rsidRPr="00D544C6">
              <w:rPr>
                <w:color w:val="000000"/>
                <w:lang w:eastAsia="en-ID"/>
              </w:rPr>
              <w:t>6455</w:t>
            </w:r>
          </w:p>
        </w:tc>
        <w:tc>
          <w:tcPr>
            <w:tcW w:w="3545" w:type="dxa"/>
            <w:tcBorders>
              <w:top w:val="nil"/>
              <w:left w:val="nil"/>
              <w:bottom w:val="nil"/>
              <w:right w:val="nil"/>
            </w:tcBorders>
            <w:shd w:val="clear" w:color="auto" w:fill="auto"/>
            <w:noWrap/>
            <w:vAlign w:val="bottom"/>
            <w:hideMark/>
          </w:tcPr>
          <w:p w14:paraId="1A503376" w14:textId="4BBD17A7" w:rsidR="00C945A6" w:rsidRPr="00D544C6" w:rsidRDefault="00CA24A6" w:rsidP="0034260C">
            <w:pPr>
              <w:rPr>
                <w:color w:val="000000"/>
                <w:lang w:eastAsia="en-ID"/>
              </w:rPr>
            </w:pPr>
            <w:r w:rsidRPr="00D544C6">
              <w:rPr>
                <w:color w:val="000000"/>
                <w:lang w:eastAsia="en-ID"/>
              </w:rPr>
              <w:t>No significant effect</w:t>
            </w:r>
          </w:p>
        </w:tc>
      </w:tr>
      <w:tr w:rsidR="00C945A6" w:rsidRPr="00D544C6" w14:paraId="3F669A9E" w14:textId="77777777" w:rsidTr="00C945A6">
        <w:trPr>
          <w:trHeight w:val="280"/>
          <w:jc w:val="center"/>
        </w:trPr>
        <w:tc>
          <w:tcPr>
            <w:tcW w:w="1043" w:type="dxa"/>
            <w:tcBorders>
              <w:top w:val="nil"/>
              <w:left w:val="nil"/>
              <w:bottom w:val="nil"/>
              <w:right w:val="nil"/>
            </w:tcBorders>
            <w:shd w:val="clear" w:color="auto" w:fill="auto"/>
            <w:noWrap/>
            <w:vAlign w:val="bottom"/>
            <w:hideMark/>
          </w:tcPr>
          <w:p w14:paraId="6742791E" w14:textId="77777777" w:rsidR="00C945A6" w:rsidRPr="00D544C6" w:rsidRDefault="00C945A6" w:rsidP="0034260C">
            <w:pPr>
              <w:rPr>
                <w:color w:val="000000"/>
                <w:lang w:eastAsia="en-ID"/>
              </w:rPr>
            </w:pPr>
            <w:r w:rsidRPr="00D544C6">
              <w:rPr>
                <w:color w:val="000000"/>
                <w:lang w:eastAsia="en-ID"/>
              </w:rPr>
              <w:t>INF</w:t>
            </w:r>
          </w:p>
        </w:tc>
        <w:tc>
          <w:tcPr>
            <w:tcW w:w="1420" w:type="dxa"/>
            <w:tcBorders>
              <w:top w:val="nil"/>
              <w:left w:val="nil"/>
              <w:bottom w:val="nil"/>
              <w:right w:val="nil"/>
            </w:tcBorders>
            <w:shd w:val="clear" w:color="auto" w:fill="auto"/>
            <w:noWrap/>
            <w:vAlign w:val="bottom"/>
            <w:hideMark/>
          </w:tcPr>
          <w:p w14:paraId="7C2D547A" w14:textId="77777777" w:rsidR="00C945A6" w:rsidRPr="00D544C6" w:rsidRDefault="00C945A6" w:rsidP="0034260C">
            <w:pPr>
              <w:jc w:val="right"/>
              <w:rPr>
                <w:color w:val="000000"/>
                <w:lang w:eastAsia="en-ID"/>
              </w:rPr>
            </w:pPr>
            <w:r w:rsidRPr="00D544C6">
              <w:rPr>
                <w:color w:val="000000"/>
                <w:lang w:eastAsia="en-ID"/>
              </w:rPr>
              <w:t>0</w:t>
            </w:r>
            <w:r>
              <w:rPr>
                <w:color w:val="000000"/>
                <w:lang w:eastAsia="en-ID"/>
              </w:rPr>
              <w:t>.</w:t>
            </w:r>
            <w:r w:rsidRPr="00D544C6">
              <w:rPr>
                <w:color w:val="000000"/>
                <w:lang w:eastAsia="en-ID"/>
              </w:rPr>
              <w:t>035290</w:t>
            </w:r>
          </w:p>
        </w:tc>
        <w:tc>
          <w:tcPr>
            <w:tcW w:w="1363" w:type="dxa"/>
            <w:tcBorders>
              <w:top w:val="nil"/>
              <w:left w:val="nil"/>
              <w:bottom w:val="nil"/>
              <w:right w:val="nil"/>
            </w:tcBorders>
            <w:shd w:val="clear" w:color="auto" w:fill="auto"/>
            <w:noWrap/>
            <w:vAlign w:val="bottom"/>
            <w:hideMark/>
          </w:tcPr>
          <w:p w14:paraId="720ED1B1" w14:textId="77777777" w:rsidR="00C945A6" w:rsidRPr="00D544C6" w:rsidRDefault="00C945A6" w:rsidP="0034260C">
            <w:pPr>
              <w:jc w:val="right"/>
              <w:rPr>
                <w:color w:val="000000"/>
                <w:lang w:eastAsia="en-ID"/>
              </w:rPr>
            </w:pPr>
            <w:r w:rsidRPr="00D544C6">
              <w:rPr>
                <w:color w:val="000000"/>
                <w:lang w:eastAsia="en-ID"/>
              </w:rPr>
              <w:t>0</w:t>
            </w:r>
            <w:r>
              <w:rPr>
                <w:color w:val="000000"/>
                <w:lang w:eastAsia="en-ID"/>
              </w:rPr>
              <w:t>.</w:t>
            </w:r>
            <w:r w:rsidRPr="00D544C6">
              <w:rPr>
                <w:color w:val="000000"/>
                <w:lang w:eastAsia="en-ID"/>
              </w:rPr>
              <w:t>8436</w:t>
            </w:r>
          </w:p>
        </w:tc>
        <w:tc>
          <w:tcPr>
            <w:tcW w:w="3545" w:type="dxa"/>
            <w:tcBorders>
              <w:top w:val="nil"/>
              <w:left w:val="nil"/>
              <w:bottom w:val="nil"/>
              <w:right w:val="nil"/>
            </w:tcBorders>
            <w:shd w:val="clear" w:color="auto" w:fill="auto"/>
            <w:noWrap/>
            <w:vAlign w:val="bottom"/>
            <w:hideMark/>
          </w:tcPr>
          <w:p w14:paraId="3D8F596E" w14:textId="1F52C261" w:rsidR="00C945A6" w:rsidRPr="00D544C6" w:rsidRDefault="00CA24A6" w:rsidP="0034260C">
            <w:pPr>
              <w:rPr>
                <w:color w:val="000000"/>
                <w:lang w:eastAsia="en-ID"/>
              </w:rPr>
            </w:pPr>
            <w:r w:rsidRPr="00D544C6">
              <w:rPr>
                <w:color w:val="000000"/>
                <w:lang w:eastAsia="en-ID"/>
              </w:rPr>
              <w:t>No significant effect</w:t>
            </w:r>
          </w:p>
        </w:tc>
      </w:tr>
      <w:tr w:rsidR="00C945A6" w:rsidRPr="00D544C6" w14:paraId="02E42D01" w14:textId="77777777" w:rsidTr="00C945A6">
        <w:trPr>
          <w:trHeight w:val="280"/>
          <w:jc w:val="center"/>
        </w:trPr>
        <w:tc>
          <w:tcPr>
            <w:tcW w:w="1043" w:type="dxa"/>
            <w:tcBorders>
              <w:top w:val="nil"/>
              <w:left w:val="nil"/>
              <w:bottom w:val="single" w:sz="4" w:space="0" w:color="auto"/>
              <w:right w:val="nil"/>
            </w:tcBorders>
            <w:shd w:val="clear" w:color="auto" w:fill="auto"/>
            <w:noWrap/>
            <w:vAlign w:val="bottom"/>
            <w:hideMark/>
          </w:tcPr>
          <w:p w14:paraId="5E466814" w14:textId="77777777" w:rsidR="00C945A6" w:rsidRPr="00D544C6" w:rsidRDefault="00C945A6" w:rsidP="0034260C">
            <w:pPr>
              <w:rPr>
                <w:color w:val="000000"/>
                <w:lang w:eastAsia="en-ID"/>
              </w:rPr>
            </w:pPr>
            <w:r w:rsidRPr="00D544C6">
              <w:rPr>
                <w:color w:val="000000"/>
                <w:lang w:eastAsia="en-ID"/>
              </w:rPr>
              <w:t>IR</w:t>
            </w:r>
          </w:p>
        </w:tc>
        <w:tc>
          <w:tcPr>
            <w:tcW w:w="1420" w:type="dxa"/>
            <w:tcBorders>
              <w:top w:val="nil"/>
              <w:left w:val="nil"/>
              <w:bottom w:val="single" w:sz="4" w:space="0" w:color="auto"/>
              <w:right w:val="nil"/>
            </w:tcBorders>
            <w:shd w:val="clear" w:color="auto" w:fill="auto"/>
            <w:noWrap/>
            <w:vAlign w:val="bottom"/>
            <w:hideMark/>
          </w:tcPr>
          <w:p w14:paraId="4E13A872" w14:textId="77777777" w:rsidR="00C945A6" w:rsidRPr="00D544C6" w:rsidRDefault="00C945A6" w:rsidP="0034260C">
            <w:pPr>
              <w:jc w:val="right"/>
              <w:rPr>
                <w:color w:val="000000"/>
                <w:lang w:eastAsia="en-ID"/>
              </w:rPr>
            </w:pPr>
            <w:r w:rsidRPr="00D544C6">
              <w:rPr>
                <w:color w:val="000000"/>
                <w:lang w:eastAsia="en-ID"/>
              </w:rPr>
              <w:t>-0</w:t>
            </w:r>
            <w:r>
              <w:rPr>
                <w:color w:val="000000"/>
                <w:lang w:eastAsia="en-ID"/>
              </w:rPr>
              <w:t>.</w:t>
            </w:r>
            <w:r w:rsidRPr="00D544C6">
              <w:rPr>
                <w:color w:val="000000"/>
                <w:lang w:eastAsia="en-ID"/>
              </w:rPr>
              <w:t>612800</w:t>
            </w:r>
          </w:p>
        </w:tc>
        <w:tc>
          <w:tcPr>
            <w:tcW w:w="1363" w:type="dxa"/>
            <w:tcBorders>
              <w:top w:val="nil"/>
              <w:left w:val="nil"/>
              <w:bottom w:val="single" w:sz="4" w:space="0" w:color="auto"/>
              <w:right w:val="nil"/>
            </w:tcBorders>
            <w:shd w:val="clear" w:color="auto" w:fill="auto"/>
            <w:noWrap/>
            <w:vAlign w:val="bottom"/>
            <w:hideMark/>
          </w:tcPr>
          <w:p w14:paraId="63320DCE" w14:textId="77777777" w:rsidR="00C945A6" w:rsidRPr="00D544C6" w:rsidRDefault="00C945A6" w:rsidP="0034260C">
            <w:pPr>
              <w:jc w:val="right"/>
              <w:rPr>
                <w:color w:val="000000"/>
                <w:lang w:eastAsia="en-ID"/>
              </w:rPr>
            </w:pPr>
            <w:r w:rsidRPr="00D544C6">
              <w:rPr>
                <w:color w:val="000000"/>
                <w:lang w:eastAsia="en-ID"/>
              </w:rPr>
              <w:t>0</w:t>
            </w:r>
            <w:r>
              <w:rPr>
                <w:color w:val="000000"/>
                <w:lang w:eastAsia="en-ID"/>
              </w:rPr>
              <w:t>.</w:t>
            </w:r>
            <w:r w:rsidRPr="00D544C6">
              <w:rPr>
                <w:color w:val="000000"/>
                <w:lang w:eastAsia="en-ID"/>
              </w:rPr>
              <w:t>0003</w:t>
            </w:r>
          </w:p>
        </w:tc>
        <w:tc>
          <w:tcPr>
            <w:tcW w:w="3545" w:type="dxa"/>
            <w:tcBorders>
              <w:top w:val="nil"/>
              <w:left w:val="nil"/>
              <w:bottom w:val="single" w:sz="4" w:space="0" w:color="auto"/>
              <w:right w:val="nil"/>
            </w:tcBorders>
            <w:shd w:val="clear" w:color="auto" w:fill="auto"/>
            <w:noWrap/>
            <w:vAlign w:val="bottom"/>
            <w:hideMark/>
          </w:tcPr>
          <w:p w14:paraId="1248835C" w14:textId="7D704B98" w:rsidR="00C945A6" w:rsidRPr="00D544C6" w:rsidRDefault="00CA24A6" w:rsidP="0034260C">
            <w:pPr>
              <w:rPr>
                <w:color w:val="000000"/>
                <w:lang w:eastAsia="en-ID"/>
              </w:rPr>
            </w:pPr>
            <w:r w:rsidRPr="00D544C6">
              <w:rPr>
                <w:color w:val="000000"/>
                <w:lang w:eastAsia="en-ID"/>
              </w:rPr>
              <w:t xml:space="preserve">Significant negative effects </w:t>
            </w:r>
          </w:p>
        </w:tc>
      </w:tr>
    </w:tbl>
    <w:p w14:paraId="772EE064" w14:textId="77777777" w:rsidR="00CA24A6" w:rsidRPr="00554714" w:rsidRDefault="00CA24A6" w:rsidP="00EF60EF">
      <w:pPr>
        <w:ind w:firstLine="720"/>
        <w:jc w:val="both"/>
        <w:rPr>
          <w:i/>
          <w:iCs/>
        </w:rPr>
      </w:pPr>
      <w:r w:rsidRPr="00554714">
        <w:rPr>
          <w:rFonts w:eastAsiaTheme="minorEastAsia"/>
          <w:i/>
          <w:iCs/>
        </w:rPr>
        <w:t xml:space="preserve">Source: data processed using </w:t>
      </w:r>
      <w:proofErr w:type="spellStart"/>
      <w:r w:rsidRPr="00554714">
        <w:rPr>
          <w:rFonts w:eastAsiaTheme="minorEastAsia"/>
          <w:i/>
          <w:iCs/>
        </w:rPr>
        <w:t>Eviews</w:t>
      </w:r>
      <w:proofErr w:type="spellEnd"/>
      <w:r w:rsidRPr="00554714">
        <w:rPr>
          <w:rFonts w:eastAsiaTheme="minorEastAsia"/>
          <w:i/>
          <w:iCs/>
        </w:rPr>
        <w:t xml:space="preserve"> 12</w:t>
      </w:r>
    </w:p>
    <w:p w14:paraId="58B26E92" w14:textId="77777777" w:rsidR="00DA3E9F" w:rsidRDefault="00DA3E9F" w:rsidP="00DD5B91">
      <w:pPr>
        <w:ind w:firstLine="567"/>
        <w:jc w:val="both"/>
      </w:pPr>
    </w:p>
    <w:p w14:paraId="22578BD6" w14:textId="01697664" w:rsidR="00C945A6" w:rsidRDefault="00CA24A6" w:rsidP="00DD5B91">
      <w:pPr>
        <w:ind w:firstLine="567"/>
        <w:jc w:val="both"/>
      </w:pPr>
      <w:r>
        <w:t xml:space="preserve">Similar to the long-term, in short-term estimates there are several variables that have a significant effect and also do not have a significant effect on </w:t>
      </w:r>
      <w:r w:rsidRPr="007863F9">
        <w:rPr>
          <w:i/>
          <w:iCs/>
        </w:rPr>
        <w:t>the money supply</w:t>
      </w:r>
      <w:r>
        <w:t>, but we can see that initially</w:t>
      </w:r>
      <w:r w:rsidR="007D517E">
        <w:t>,</w:t>
      </w:r>
      <w:r>
        <w:t xml:space="preserve"> in the long term</w:t>
      </w:r>
      <w:r w:rsidR="007D517E">
        <w:t>,</w:t>
      </w:r>
      <w:r>
        <w:t xml:space="preserve"> it has a significant effect on the short-term estimate to change position.</w:t>
      </w:r>
      <w:r w:rsidR="00C945A6">
        <w:t xml:space="preserve">  </w:t>
      </w:r>
    </w:p>
    <w:p w14:paraId="0FFB764F" w14:textId="77777777" w:rsidR="00DA3E9F" w:rsidRDefault="00DA3E9F" w:rsidP="00DD5B91">
      <w:pPr>
        <w:ind w:firstLine="567"/>
        <w:jc w:val="both"/>
      </w:pPr>
    </w:p>
    <w:p w14:paraId="139C5A04" w14:textId="3C1171EB" w:rsidR="00C945A6" w:rsidRPr="001543E3" w:rsidRDefault="00CA24A6" w:rsidP="00C945A6">
      <w:pPr>
        <w:jc w:val="center"/>
        <w:rPr>
          <w:b/>
          <w:bCs/>
        </w:rPr>
      </w:pPr>
      <w:r>
        <w:rPr>
          <w:b/>
          <w:bCs/>
        </w:rPr>
        <w:t>Table 10. T-statistical test – Short-term</w:t>
      </w:r>
      <w:r w:rsidR="00C945A6">
        <w:rPr>
          <w:b/>
          <w:bCs/>
        </w:rPr>
        <w:t xml:space="preserve"> </w:t>
      </w:r>
    </w:p>
    <w:tbl>
      <w:tblPr>
        <w:tblW w:w="6946" w:type="dxa"/>
        <w:jc w:val="center"/>
        <w:tblLook w:val="04A0" w:firstRow="1" w:lastRow="0" w:firstColumn="1" w:lastColumn="0" w:noHBand="0" w:noVBand="1"/>
      </w:tblPr>
      <w:tblGrid>
        <w:gridCol w:w="1043"/>
        <w:gridCol w:w="1420"/>
        <w:gridCol w:w="1363"/>
        <w:gridCol w:w="3258"/>
      </w:tblGrid>
      <w:tr w:rsidR="00C945A6" w:rsidRPr="00D544C6" w14:paraId="069F3C05" w14:textId="77777777" w:rsidTr="0034260C">
        <w:trPr>
          <w:trHeight w:val="280"/>
          <w:jc w:val="center"/>
        </w:trPr>
        <w:tc>
          <w:tcPr>
            <w:tcW w:w="1000" w:type="dxa"/>
            <w:tcBorders>
              <w:top w:val="single" w:sz="4" w:space="0" w:color="auto"/>
              <w:left w:val="nil"/>
              <w:bottom w:val="single" w:sz="4" w:space="0" w:color="auto"/>
              <w:right w:val="nil"/>
            </w:tcBorders>
            <w:shd w:val="clear" w:color="auto" w:fill="auto"/>
            <w:noWrap/>
            <w:vAlign w:val="center"/>
            <w:hideMark/>
          </w:tcPr>
          <w:p w14:paraId="70360868" w14:textId="47BBA469" w:rsidR="00C945A6" w:rsidRPr="00D544C6" w:rsidRDefault="00CA24A6" w:rsidP="0034260C">
            <w:pPr>
              <w:jc w:val="center"/>
              <w:rPr>
                <w:color w:val="000000"/>
                <w:lang w:eastAsia="en-ID"/>
              </w:rPr>
            </w:pPr>
            <w:r w:rsidRPr="00D544C6">
              <w:rPr>
                <w:color w:val="000000"/>
                <w:lang w:eastAsia="en-ID"/>
              </w:rPr>
              <w:t>Variable</w:t>
            </w:r>
            <w:r w:rsidR="00C945A6" w:rsidRPr="00D544C6">
              <w:rPr>
                <w:color w:val="000000"/>
                <w:lang w:eastAsia="en-ID"/>
              </w:rPr>
              <w:t xml:space="preserve">  </w:t>
            </w:r>
          </w:p>
        </w:tc>
        <w:tc>
          <w:tcPr>
            <w:tcW w:w="1420" w:type="dxa"/>
            <w:tcBorders>
              <w:top w:val="single" w:sz="4" w:space="0" w:color="auto"/>
              <w:left w:val="nil"/>
              <w:bottom w:val="single" w:sz="4" w:space="0" w:color="auto"/>
              <w:right w:val="nil"/>
            </w:tcBorders>
            <w:shd w:val="clear" w:color="auto" w:fill="auto"/>
            <w:noWrap/>
            <w:vAlign w:val="center"/>
            <w:hideMark/>
          </w:tcPr>
          <w:p w14:paraId="63ED61C5" w14:textId="77777777" w:rsidR="00C945A6" w:rsidRPr="00D544C6" w:rsidRDefault="00C945A6" w:rsidP="0034260C">
            <w:pPr>
              <w:jc w:val="center"/>
              <w:rPr>
                <w:color w:val="000000"/>
                <w:lang w:eastAsia="en-ID"/>
              </w:rPr>
            </w:pPr>
            <w:r w:rsidRPr="00D544C6">
              <w:rPr>
                <w:color w:val="000000"/>
                <w:lang w:eastAsia="en-ID"/>
              </w:rPr>
              <w:t xml:space="preserve">Coefficient </w:t>
            </w:r>
          </w:p>
        </w:tc>
        <w:tc>
          <w:tcPr>
            <w:tcW w:w="1268" w:type="dxa"/>
            <w:tcBorders>
              <w:top w:val="single" w:sz="4" w:space="0" w:color="auto"/>
              <w:left w:val="nil"/>
              <w:bottom w:val="single" w:sz="4" w:space="0" w:color="auto"/>
              <w:right w:val="nil"/>
            </w:tcBorders>
            <w:shd w:val="clear" w:color="auto" w:fill="auto"/>
            <w:noWrap/>
            <w:vAlign w:val="center"/>
            <w:hideMark/>
          </w:tcPr>
          <w:p w14:paraId="24CCBF06" w14:textId="77777777" w:rsidR="00C945A6" w:rsidRPr="00D544C6" w:rsidRDefault="00C945A6" w:rsidP="0034260C">
            <w:pPr>
              <w:jc w:val="center"/>
              <w:rPr>
                <w:color w:val="000000"/>
                <w:lang w:eastAsia="en-ID"/>
              </w:rPr>
            </w:pPr>
            <w:r w:rsidRPr="00D544C6">
              <w:rPr>
                <w:color w:val="000000"/>
                <w:lang w:eastAsia="en-ID"/>
              </w:rPr>
              <w:t xml:space="preserve">Probabilitas </w:t>
            </w:r>
          </w:p>
        </w:tc>
        <w:tc>
          <w:tcPr>
            <w:tcW w:w="3258" w:type="dxa"/>
            <w:tcBorders>
              <w:top w:val="single" w:sz="4" w:space="0" w:color="auto"/>
              <w:left w:val="nil"/>
              <w:bottom w:val="single" w:sz="4" w:space="0" w:color="auto"/>
              <w:right w:val="nil"/>
            </w:tcBorders>
            <w:shd w:val="clear" w:color="auto" w:fill="auto"/>
            <w:noWrap/>
            <w:vAlign w:val="center"/>
            <w:hideMark/>
          </w:tcPr>
          <w:p w14:paraId="5DC917B4" w14:textId="77777777" w:rsidR="00C945A6" w:rsidRPr="00D544C6" w:rsidRDefault="00C945A6" w:rsidP="0034260C">
            <w:pPr>
              <w:jc w:val="center"/>
              <w:rPr>
                <w:color w:val="000000"/>
                <w:lang w:eastAsia="en-ID"/>
              </w:rPr>
            </w:pPr>
            <w:r w:rsidRPr="00D544C6">
              <w:rPr>
                <w:color w:val="000000"/>
                <w:lang w:eastAsia="en-ID"/>
              </w:rPr>
              <w:t>Ket</w:t>
            </w:r>
          </w:p>
        </w:tc>
      </w:tr>
      <w:tr w:rsidR="00C945A6" w:rsidRPr="00D544C6" w14:paraId="55472C69" w14:textId="77777777" w:rsidTr="0034260C">
        <w:trPr>
          <w:trHeight w:val="280"/>
          <w:jc w:val="center"/>
        </w:trPr>
        <w:tc>
          <w:tcPr>
            <w:tcW w:w="1000" w:type="dxa"/>
            <w:tcBorders>
              <w:top w:val="nil"/>
              <w:left w:val="nil"/>
              <w:bottom w:val="nil"/>
              <w:right w:val="nil"/>
            </w:tcBorders>
            <w:shd w:val="clear" w:color="auto" w:fill="auto"/>
            <w:noWrap/>
            <w:vAlign w:val="bottom"/>
            <w:hideMark/>
          </w:tcPr>
          <w:p w14:paraId="25CE4750" w14:textId="77777777" w:rsidR="00C945A6" w:rsidRPr="00D544C6" w:rsidRDefault="00C945A6" w:rsidP="0034260C">
            <w:pPr>
              <w:rPr>
                <w:color w:val="000000"/>
                <w:lang w:eastAsia="en-ID"/>
              </w:rPr>
            </w:pPr>
            <w:r w:rsidRPr="00D544C6">
              <w:rPr>
                <w:color w:val="000000"/>
                <w:lang w:eastAsia="en-ID"/>
              </w:rPr>
              <w:t>D(ER)</w:t>
            </w:r>
          </w:p>
        </w:tc>
        <w:tc>
          <w:tcPr>
            <w:tcW w:w="1420" w:type="dxa"/>
            <w:tcBorders>
              <w:top w:val="nil"/>
              <w:left w:val="nil"/>
              <w:bottom w:val="nil"/>
              <w:right w:val="nil"/>
            </w:tcBorders>
            <w:shd w:val="clear" w:color="auto" w:fill="auto"/>
            <w:noWrap/>
            <w:vAlign w:val="bottom"/>
            <w:hideMark/>
          </w:tcPr>
          <w:p w14:paraId="75928414" w14:textId="77777777" w:rsidR="00C945A6" w:rsidRPr="00D544C6" w:rsidRDefault="00C945A6" w:rsidP="0034260C">
            <w:pPr>
              <w:jc w:val="right"/>
              <w:rPr>
                <w:color w:val="000000"/>
                <w:lang w:eastAsia="en-ID"/>
              </w:rPr>
            </w:pPr>
            <w:r w:rsidRPr="00D544C6">
              <w:rPr>
                <w:color w:val="000000"/>
                <w:lang w:eastAsia="en-ID"/>
              </w:rPr>
              <w:t>-0</w:t>
            </w:r>
            <w:r>
              <w:rPr>
                <w:color w:val="000000"/>
                <w:lang w:eastAsia="en-ID"/>
              </w:rPr>
              <w:t>.</w:t>
            </w:r>
            <w:r w:rsidRPr="00D544C6">
              <w:rPr>
                <w:color w:val="000000"/>
                <w:lang w:eastAsia="en-ID"/>
              </w:rPr>
              <w:t>001176</w:t>
            </w:r>
          </w:p>
        </w:tc>
        <w:tc>
          <w:tcPr>
            <w:tcW w:w="1268" w:type="dxa"/>
            <w:tcBorders>
              <w:top w:val="nil"/>
              <w:left w:val="nil"/>
              <w:bottom w:val="nil"/>
              <w:right w:val="nil"/>
            </w:tcBorders>
            <w:shd w:val="clear" w:color="auto" w:fill="auto"/>
            <w:noWrap/>
            <w:vAlign w:val="bottom"/>
            <w:hideMark/>
          </w:tcPr>
          <w:p w14:paraId="10E1E011" w14:textId="77777777" w:rsidR="00C945A6" w:rsidRPr="00D544C6" w:rsidRDefault="00C945A6" w:rsidP="0034260C">
            <w:pPr>
              <w:jc w:val="right"/>
              <w:rPr>
                <w:color w:val="000000"/>
                <w:lang w:eastAsia="en-ID"/>
              </w:rPr>
            </w:pPr>
            <w:r w:rsidRPr="00D544C6">
              <w:rPr>
                <w:color w:val="000000"/>
                <w:lang w:eastAsia="en-ID"/>
              </w:rPr>
              <w:t>0</w:t>
            </w:r>
            <w:r>
              <w:rPr>
                <w:color w:val="000000"/>
                <w:lang w:eastAsia="en-ID"/>
              </w:rPr>
              <w:t>.</w:t>
            </w:r>
            <w:r w:rsidRPr="00D544C6">
              <w:rPr>
                <w:color w:val="000000"/>
                <w:lang w:eastAsia="en-ID"/>
              </w:rPr>
              <w:t>1855</w:t>
            </w:r>
          </w:p>
        </w:tc>
        <w:tc>
          <w:tcPr>
            <w:tcW w:w="3258" w:type="dxa"/>
            <w:tcBorders>
              <w:top w:val="nil"/>
              <w:left w:val="nil"/>
              <w:bottom w:val="nil"/>
              <w:right w:val="nil"/>
            </w:tcBorders>
            <w:shd w:val="clear" w:color="auto" w:fill="auto"/>
            <w:noWrap/>
            <w:vAlign w:val="bottom"/>
            <w:hideMark/>
          </w:tcPr>
          <w:p w14:paraId="445D95C3" w14:textId="741B48D0" w:rsidR="00C945A6" w:rsidRPr="00D544C6" w:rsidRDefault="00CA24A6" w:rsidP="0034260C">
            <w:pPr>
              <w:rPr>
                <w:color w:val="000000"/>
                <w:lang w:eastAsia="en-ID"/>
              </w:rPr>
            </w:pPr>
            <w:r w:rsidRPr="00D544C6">
              <w:rPr>
                <w:color w:val="000000"/>
                <w:lang w:eastAsia="en-ID"/>
              </w:rPr>
              <w:t>No significant effect</w:t>
            </w:r>
          </w:p>
        </w:tc>
      </w:tr>
      <w:tr w:rsidR="00C945A6" w:rsidRPr="00D544C6" w14:paraId="79BF3B2A" w14:textId="77777777" w:rsidTr="0034260C">
        <w:trPr>
          <w:trHeight w:val="280"/>
          <w:jc w:val="center"/>
        </w:trPr>
        <w:tc>
          <w:tcPr>
            <w:tcW w:w="1000" w:type="dxa"/>
            <w:tcBorders>
              <w:top w:val="nil"/>
              <w:left w:val="nil"/>
              <w:bottom w:val="nil"/>
              <w:right w:val="nil"/>
            </w:tcBorders>
            <w:shd w:val="clear" w:color="auto" w:fill="auto"/>
            <w:noWrap/>
            <w:vAlign w:val="bottom"/>
            <w:hideMark/>
          </w:tcPr>
          <w:p w14:paraId="267F986E" w14:textId="77777777" w:rsidR="00C945A6" w:rsidRPr="00D544C6" w:rsidRDefault="00C945A6" w:rsidP="0034260C">
            <w:pPr>
              <w:rPr>
                <w:color w:val="000000"/>
                <w:lang w:eastAsia="en-ID"/>
              </w:rPr>
            </w:pPr>
            <w:r w:rsidRPr="00D544C6">
              <w:rPr>
                <w:color w:val="000000"/>
                <w:lang w:eastAsia="en-ID"/>
              </w:rPr>
              <w:t>D(FDI)</w:t>
            </w:r>
          </w:p>
        </w:tc>
        <w:tc>
          <w:tcPr>
            <w:tcW w:w="1420" w:type="dxa"/>
            <w:tcBorders>
              <w:top w:val="nil"/>
              <w:left w:val="nil"/>
              <w:bottom w:val="nil"/>
              <w:right w:val="nil"/>
            </w:tcBorders>
            <w:shd w:val="clear" w:color="auto" w:fill="auto"/>
            <w:noWrap/>
            <w:vAlign w:val="bottom"/>
            <w:hideMark/>
          </w:tcPr>
          <w:p w14:paraId="0807771A" w14:textId="77777777" w:rsidR="00C945A6" w:rsidRPr="00D544C6" w:rsidRDefault="00C945A6" w:rsidP="0034260C">
            <w:pPr>
              <w:jc w:val="right"/>
              <w:rPr>
                <w:color w:val="000000"/>
                <w:lang w:eastAsia="en-ID"/>
              </w:rPr>
            </w:pPr>
            <w:r w:rsidRPr="00D544C6">
              <w:rPr>
                <w:color w:val="000000"/>
                <w:lang w:eastAsia="en-ID"/>
              </w:rPr>
              <w:t>1</w:t>
            </w:r>
            <w:r>
              <w:rPr>
                <w:color w:val="000000"/>
                <w:lang w:eastAsia="en-ID"/>
              </w:rPr>
              <w:t>.</w:t>
            </w:r>
            <w:r w:rsidRPr="00D544C6">
              <w:rPr>
                <w:color w:val="000000"/>
                <w:lang w:eastAsia="en-ID"/>
              </w:rPr>
              <w:t>113972</w:t>
            </w:r>
          </w:p>
        </w:tc>
        <w:tc>
          <w:tcPr>
            <w:tcW w:w="1268" w:type="dxa"/>
            <w:tcBorders>
              <w:top w:val="nil"/>
              <w:left w:val="nil"/>
              <w:bottom w:val="nil"/>
              <w:right w:val="nil"/>
            </w:tcBorders>
            <w:shd w:val="clear" w:color="auto" w:fill="auto"/>
            <w:noWrap/>
            <w:vAlign w:val="bottom"/>
            <w:hideMark/>
          </w:tcPr>
          <w:p w14:paraId="2170CA55" w14:textId="77777777" w:rsidR="00C945A6" w:rsidRPr="00D544C6" w:rsidRDefault="00C945A6" w:rsidP="0034260C">
            <w:pPr>
              <w:jc w:val="right"/>
              <w:rPr>
                <w:color w:val="000000"/>
                <w:lang w:eastAsia="en-ID"/>
              </w:rPr>
            </w:pPr>
            <w:r w:rsidRPr="00D544C6">
              <w:rPr>
                <w:color w:val="000000"/>
                <w:lang w:eastAsia="en-ID"/>
              </w:rPr>
              <w:t>0</w:t>
            </w:r>
            <w:r>
              <w:rPr>
                <w:color w:val="000000"/>
                <w:lang w:eastAsia="en-ID"/>
              </w:rPr>
              <w:t>.</w:t>
            </w:r>
            <w:r w:rsidRPr="00D544C6">
              <w:rPr>
                <w:color w:val="000000"/>
                <w:lang w:eastAsia="en-ID"/>
              </w:rPr>
              <w:t>1227</w:t>
            </w:r>
          </w:p>
        </w:tc>
        <w:tc>
          <w:tcPr>
            <w:tcW w:w="3258" w:type="dxa"/>
            <w:tcBorders>
              <w:top w:val="nil"/>
              <w:left w:val="nil"/>
              <w:bottom w:val="nil"/>
              <w:right w:val="nil"/>
            </w:tcBorders>
            <w:shd w:val="clear" w:color="auto" w:fill="auto"/>
            <w:noWrap/>
            <w:vAlign w:val="bottom"/>
            <w:hideMark/>
          </w:tcPr>
          <w:p w14:paraId="7F0EE6F5" w14:textId="0D30B289" w:rsidR="00C945A6" w:rsidRPr="00D544C6" w:rsidRDefault="00CA24A6" w:rsidP="0034260C">
            <w:pPr>
              <w:rPr>
                <w:color w:val="000000"/>
                <w:lang w:eastAsia="en-ID"/>
              </w:rPr>
            </w:pPr>
            <w:r w:rsidRPr="00D544C6">
              <w:rPr>
                <w:color w:val="000000"/>
                <w:lang w:eastAsia="en-ID"/>
              </w:rPr>
              <w:t>No significant effect</w:t>
            </w:r>
          </w:p>
        </w:tc>
      </w:tr>
      <w:tr w:rsidR="00C945A6" w:rsidRPr="00D544C6" w14:paraId="2DAE152E" w14:textId="77777777" w:rsidTr="0034260C">
        <w:trPr>
          <w:trHeight w:val="280"/>
          <w:jc w:val="center"/>
        </w:trPr>
        <w:tc>
          <w:tcPr>
            <w:tcW w:w="1000" w:type="dxa"/>
            <w:tcBorders>
              <w:top w:val="nil"/>
              <w:left w:val="nil"/>
              <w:bottom w:val="nil"/>
              <w:right w:val="nil"/>
            </w:tcBorders>
            <w:shd w:val="clear" w:color="auto" w:fill="auto"/>
            <w:noWrap/>
            <w:vAlign w:val="bottom"/>
            <w:hideMark/>
          </w:tcPr>
          <w:p w14:paraId="384DA555" w14:textId="77777777" w:rsidR="00C945A6" w:rsidRPr="00D544C6" w:rsidRDefault="00C945A6" w:rsidP="0034260C">
            <w:pPr>
              <w:rPr>
                <w:color w:val="000000"/>
                <w:lang w:eastAsia="en-ID"/>
              </w:rPr>
            </w:pPr>
            <w:r w:rsidRPr="00D544C6">
              <w:rPr>
                <w:color w:val="000000"/>
                <w:lang w:eastAsia="en-ID"/>
              </w:rPr>
              <w:t>D(GDP)</w:t>
            </w:r>
          </w:p>
        </w:tc>
        <w:tc>
          <w:tcPr>
            <w:tcW w:w="1420" w:type="dxa"/>
            <w:tcBorders>
              <w:top w:val="nil"/>
              <w:left w:val="nil"/>
              <w:bottom w:val="nil"/>
              <w:right w:val="nil"/>
            </w:tcBorders>
            <w:shd w:val="clear" w:color="auto" w:fill="auto"/>
            <w:noWrap/>
            <w:vAlign w:val="bottom"/>
            <w:hideMark/>
          </w:tcPr>
          <w:p w14:paraId="15CC7716" w14:textId="77777777" w:rsidR="00C945A6" w:rsidRPr="00D544C6" w:rsidRDefault="00C945A6" w:rsidP="0034260C">
            <w:pPr>
              <w:jc w:val="right"/>
              <w:rPr>
                <w:color w:val="000000"/>
                <w:lang w:eastAsia="en-ID"/>
              </w:rPr>
            </w:pPr>
            <w:r w:rsidRPr="00D544C6">
              <w:rPr>
                <w:color w:val="000000"/>
                <w:lang w:eastAsia="en-ID"/>
              </w:rPr>
              <w:t>-1</w:t>
            </w:r>
            <w:r>
              <w:rPr>
                <w:color w:val="000000"/>
                <w:lang w:eastAsia="en-ID"/>
              </w:rPr>
              <w:t>.</w:t>
            </w:r>
            <w:r w:rsidRPr="00D544C6">
              <w:rPr>
                <w:color w:val="000000"/>
                <w:lang w:eastAsia="en-ID"/>
              </w:rPr>
              <w:t>570852</w:t>
            </w:r>
          </w:p>
        </w:tc>
        <w:tc>
          <w:tcPr>
            <w:tcW w:w="1268" w:type="dxa"/>
            <w:tcBorders>
              <w:top w:val="nil"/>
              <w:left w:val="nil"/>
              <w:bottom w:val="nil"/>
              <w:right w:val="nil"/>
            </w:tcBorders>
            <w:shd w:val="clear" w:color="auto" w:fill="auto"/>
            <w:noWrap/>
            <w:vAlign w:val="bottom"/>
            <w:hideMark/>
          </w:tcPr>
          <w:p w14:paraId="60014C39" w14:textId="77777777" w:rsidR="00C945A6" w:rsidRPr="00D544C6" w:rsidRDefault="00C945A6" w:rsidP="0034260C">
            <w:pPr>
              <w:jc w:val="right"/>
              <w:rPr>
                <w:color w:val="000000"/>
                <w:lang w:eastAsia="en-ID"/>
              </w:rPr>
            </w:pPr>
            <w:r w:rsidRPr="00D544C6">
              <w:rPr>
                <w:color w:val="000000"/>
                <w:lang w:eastAsia="en-ID"/>
              </w:rPr>
              <w:t>0</w:t>
            </w:r>
            <w:r>
              <w:rPr>
                <w:color w:val="000000"/>
                <w:lang w:eastAsia="en-ID"/>
              </w:rPr>
              <w:t>.</w:t>
            </w:r>
            <w:r w:rsidRPr="00D544C6">
              <w:rPr>
                <w:color w:val="000000"/>
                <w:lang w:eastAsia="en-ID"/>
              </w:rPr>
              <w:t>0001</w:t>
            </w:r>
          </w:p>
        </w:tc>
        <w:tc>
          <w:tcPr>
            <w:tcW w:w="3258" w:type="dxa"/>
            <w:tcBorders>
              <w:top w:val="nil"/>
              <w:left w:val="nil"/>
              <w:bottom w:val="nil"/>
              <w:right w:val="nil"/>
            </w:tcBorders>
            <w:shd w:val="clear" w:color="auto" w:fill="auto"/>
            <w:noWrap/>
            <w:vAlign w:val="bottom"/>
            <w:hideMark/>
          </w:tcPr>
          <w:p w14:paraId="2CD6209E" w14:textId="52C51E6B" w:rsidR="00C945A6" w:rsidRPr="00D544C6" w:rsidRDefault="00CA24A6" w:rsidP="0034260C">
            <w:pPr>
              <w:rPr>
                <w:color w:val="000000"/>
                <w:lang w:eastAsia="en-ID"/>
              </w:rPr>
            </w:pPr>
            <w:r w:rsidRPr="00D544C6">
              <w:rPr>
                <w:color w:val="000000"/>
                <w:lang w:eastAsia="en-ID"/>
              </w:rPr>
              <w:t xml:space="preserve">Significant negative effects </w:t>
            </w:r>
          </w:p>
        </w:tc>
      </w:tr>
      <w:tr w:rsidR="00C945A6" w:rsidRPr="00D544C6" w14:paraId="0C9AF7E6" w14:textId="77777777" w:rsidTr="0034260C">
        <w:trPr>
          <w:trHeight w:val="280"/>
          <w:jc w:val="center"/>
        </w:trPr>
        <w:tc>
          <w:tcPr>
            <w:tcW w:w="1000" w:type="dxa"/>
            <w:tcBorders>
              <w:top w:val="nil"/>
              <w:left w:val="nil"/>
              <w:bottom w:val="nil"/>
              <w:right w:val="nil"/>
            </w:tcBorders>
            <w:shd w:val="clear" w:color="auto" w:fill="auto"/>
            <w:noWrap/>
            <w:vAlign w:val="bottom"/>
            <w:hideMark/>
          </w:tcPr>
          <w:p w14:paraId="0A6F6001" w14:textId="77777777" w:rsidR="00C945A6" w:rsidRPr="00D544C6" w:rsidRDefault="00C945A6" w:rsidP="0034260C">
            <w:pPr>
              <w:rPr>
                <w:color w:val="000000"/>
                <w:lang w:eastAsia="en-ID"/>
              </w:rPr>
            </w:pPr>
            <w:r w:rsidRPr="00D544C6">
              <w:rPr>
                <w:color w:val="000000"/>
                <w:lang w:eastAsia="en-ID"/>
              </w:rPr>
              <w:t>D(GE)</w:t>
            </w:r>
          </w:p>
        </w:tc>
        <w:tc>
          <w:tcPr>
            <w:tcW w:w="1420" w:type="dxa"/>
            <w:tcBorders>
              <w:top w:val="nil"/>
              <w:left w:val="nil"/>
              <w:bottom w:val="nil"/>
              <w:right w:val="nil"/>
            </w:tcBorders>
            <w:shd w:val="clear" w:color="auto" w:fill="auto"/>
            <w:noWrap/>
            <w:vAlign w:val="bottom"/>
            <w:hideMark/>
          </w:tcPr>
          <w:p w14:paraId="6DC2B51E" w14:textId="77777777" w:rsidR="00C945A6" w:rsidRPr="00D544C6" w:rsidRDefault="00C945A6" w:rsidP="0034260C">
            <w:pPr>
              <w:jc w:val="right"/>
              <w:rPr>
                <w:color w:val="000000"/>
                <w:lang w:eastAsia="en-ID"/>
              </w:rPr>
            </w:pPr>
            <w:r w:rsidRPr="00D544C6">
              <w:rPr>
                <w:color w:val="000000"/>
                <w:lang w:eastAsia="en-ID"/>
              </w:rPr>
              <w:t>-1</w:t>
            </w:r>
            <w:r>
              <w:rPr>
                <w:color w:val="000000"/>
                <w:lang w:eastAsia="en-ID"/>
              </w:rPr>
              <w:t>.</w:t>
            </w:r>
            <w:r w:rsidRPr="00D544C6">
              <w:rPr>
                <w:color w:val="000000"/>
                <w:lang w:eastAsia="en-ID"/>
              </w:rPr>
              <w:t>693207</w:t>
            </w:r>
          </w:p>
        </w:tc>
        <w:tc>
          <w:tcPr>
            <w:tcW w:w="1268" w:type="dxa"/>
            <w:tcBorders>
              <w:top w:val="nil"/>
              <w:left w:val="nil"/>
              <w:bottom w:val="nil"/>
              <w:right w:val="nil"/>
            </w:tcBorders>
            <w:shd w:val="clear" w:color="auto" w:fill="auto"/>
            <w:noWrap/>
            <w:vAlign w:val="bottom"/>
            <w:hideMark/>
          </w:tcPr>
          <w:p w14:paraId="61AB26EC" w14:textId="77777777" w:rsidR="00C945A6" w:rsidRPr="00D544C6" w:rsidRDefault="00C945A6" w:rsidP="0034260C">
            <w:pPr>
              <w:jc w:val="right"/>
              <w:rPr>
                <w:color w:val="000000"/>
                <w:lang w:eastAsia="en-ID"/>
              </w:rPr>
            </w:pPr>
            <w:r w:rsidRPr="00D544C6">
              <w:rPr>
                <w:color w:val="000000"/>
                <w:lang w:eastAsia="en-ID"/>
              </w:rPr>
              <w:t>0</w:t>
            </w:r>
            <w:r>
              <w:rPr>
                <w:color w:val="000000"/>
                <w:lang w:eastAsia="en-ID"/>
              </w:rPr>
              <w:t>.</w:t>
            </w:r>
            <w:r w:rsidRPr="00D544C6">
              <w:rPr>
                <w:color w:val="000000"/>
                <w:lang w:eastAsia="en-ID"/>
              </w:rPr>
              <w:t>2276</w:t>
            </w:r>
          </w:p>
        </w:tc>
        <w:tc>
          <w:tcPr>
            <w:tcW w:w="3258" w:type="dxa"/>
            <w:tcBorders>
              <w:top w:val="nil"/>
              <w:left w:val="nil"/>
              <w:bottom w:val="nil"/>
              <w:right w:val="nil"/>
            </w:tcBorders>
            <w:shd w:val="clear" w:color="auto" w:fill="auto"/>
            <w:noWrap/>
            <w:vAlign w:val="bottom"/>
            <w:hideMark/>
          </w:tcPr>
          <w:p w14:paraId="7E0122A4" w14:textId="6ED25B3F" w:rsidR="00C945A6" w:rsidRPr="00D544C6" w:rsidRDefault="00CA24A6" w:rsidP="0034260C">
            <w:pPr>
              <w:rPr>
                <w:color w:val="000000"/>
                <w:lang w:eastAsia="en-ID"/>
              </w:rPr>
            </w:pPr>
            <w:r w:rsidRPr="00D544C6">
              <w:rPr>
                <w:color w:val="000000"/>
                <w:lang w:eastAsia="en-ID"/>
              </w:rPr>
              <w:t>No significant effect</w:t>
            </w:r>
          </w:p>
        </w:tc>
      </w:tr>
      <w:tr w:rsidR="00C945A6" w:rsidRPr="00D544C6" w14:paraId="7087EE44" w14:textId="77777777" w:rsidTr="0034260C">
        <w:trPr>
          <w:trHeight w:val="280"/>
          <w:jc w:val="center"/>
        </w:trPr>
        <w:tc>
          <w:tcPr>
            <w:tcW w:w="1000" w:type="dxa"/>
            <w:tcBorders>
              <w:top w:val="nil"/>
              <w:left w:val="nil"/>
              <w:bottom w:val="nil"/>
              <w:right w:val="nil"/>
            </w:tcBorders>
            <w:shd w:val="clear" w:color="auto" w:fill="auto"/>
            <w:noWrap/>
            <w:vAlign w:val="bottom"/>
            <w:hideMark/>
          </w:tcPr>
          <w:p w14:paraId="3024F205" w14:textId="77777777" w:rsidR="00C945A6" w:rsidRPr="00D544C6" w:rsidRDefault="00C945A6" w:rsidP="0034260C">
            <w:pPr>
              <w:rPr>
                <w:color w:val="000000"/>
                <w:lang w:eastAsia="en-ID"/>
              </w:rPr>
            </w:pPr>
            <w:r w:rsidRPr="00D544C6">
              <w:rPr>
                <w:color w:val="000000"/>
                <w:lang w:eastAsia="en-ID"/>
              </w:rPr>
              <w:t>D(INF)</w:t>
            </w:r>
          </w:p>
        </w:tc>
        <w:tc>
          <w:tcPr>
            <w:tcW w:w="1420" w:type="dxa"/>
            <w:tcBorders>
              <w:top w:val="nil"/>
              <w:left w:val="nil"/>
              <w:bottom w:val="nil"/>
              <w:right w:val="nil"/>
            </w:tcBorders>
            <w:shd w:val="clear" w:color="auto" w:fill="auto"/>
            <w:noWrap/>
            <w:vAlign w:val="bottom"/>
            <w:hideMark/>
          </w:tcPr>
          <w:p w14:paraId="14657DE4" w14:textId="77777777" w:rsidR="00C945A6" w:rsidRPr="00D544C6" w:rsidRDefault="00C945A6" w:rsidP="0034260C">
            <w:pPr>
              <w:jc w:val="right"/>
              <w:rPr>
                <w:color w:val="000000"/>
                <w:lang w:eastAsia="en-ID"/>
              </w:rPr>
            </w:pPr>
            <w:r w:rsidRPr="00D544C6">
              <w:rPr>
                <w:color w:val="000000"/>
                <w:lang w:eastAsia="en-ID"/>
              </w:rPr>
              <w:t>-0</w:t>
            </w:r>
            <w:r>
              <w:rPr>
                <w:color w:val="000000"/>
                <w:lang w:eastAsia="en-ID"/>
              </w:rPr>
              <w:t>.</w:t>
            </w:r>
            <w:r w:rsidRPr="00D544C6">
              <w:rPr>
                <w:color w:val="000000"/>
                <w:lang w:eastAsia="en-ID"/>
              </w:rPr>
              <w:t>031865</w:t>
            </w:r>
          </w:p>
        </w:tc>
        <w:tc>
          <w:tcPr>
            <w:tcW w:w="1268" w:type="dxa"/>
            <w:tcBorders>
              <w:top w:val="nil"/>
              <w:left w:val="nil"/>
              <w:bottom w:val="nil"/>
              <w:right w:val="nil"/>
            </w:tcBorders>
            <w:shd w:val="clear" w:color="auto" w:fill="auto"/>
            <w:noWrap/>
            <w:vAlign w:val="bottom"/>
            <w:hideMark/>
          </w:tcPr>
          <w:p w14:paraId="149B3FAA" w14:textId="77777777" w:rsidR="00C945A6" w:rsidRPr="00D544C6" w:rsidRDefault="00C945A6" w:rsidP="0034260C">
            <w:pPr>
              <w:jc w:val="right"/>
              <w:rPr>
                <w:color w:val="000000"/>
                <w:lang w:eastAsia="en-ID"/>
              </w:rPr>
            </w:pPr>
            <w:r w:rsidRPr="00D544C6">
              <w:rPr>
                <w:color w:val="000000"/>
                <w:lang w:eastAsia="en-ID"/>
              </w:rPr>
              <w:t>0</w:t>
            </w:r>
            <w:r>
              <w:rPr>
                <w:color w:val="000000"/>
                <w:lang w:eastAsia="en-ID"/>
              </w:rPr>
              <w:t>.</w:t>
            </w:r>
            <w:r w:rsidRPr="00D544C6">
              <w:rPr>
                <w:color w:val="000000"/>
                <w:lang w:eastAsia="en-ID"/>
              </w:rPr>
              <w:t>8262</w:t>
            </w:r>
          </w:p>
        </w:tc>
        <w:tc>
          <w:tcPr>
            <w:tcW w:w="3258" w:type="dxa"/>
            <w:tcBorders>
              <w:top w:val="nil"/>
              <w:left w:val="nil"/>
              <w:bottom w:val="nil"/>
              <w:right w:val="nil"/>
            </w:tcBorders>
            <w:shd w:val="clear" w:color="auto" w:fill="auto"/>
            <w:noWrap/>
            <w:vAlign w:val="bottom"/>
            <w:hideMark/>
          </w:tcPr>
          <w:p w14:paraId="22E61A33" w14:textId="0321403E" w:rsidR="00C945A6" w:rsidRPr="00D544C6" w:rsidRDefault="00CA24A6" w:rsidP="0034260C">
            <w:pPr>
              <w:rPr>
                <w:color w:val="000000"/>
                <w:lang w:eastAsia="en-ID"/>
              </w:rPr>
            </w:pPr>
            <w:r w:rsidRPr="00D544C6">
              <w:rPr>
                <w:color w:val="000000"/>
                <w:lang w:eastAsia="en-ID"/>
              </w:rPr>
              <w:t>No significant effect</w:t>
            </w:r>
          </w:p>
        </w:tc>
      </w:tr>
      <w:tr w:rsidR="00C945A6" w:rsidRPr="00D544C6" w14:paraId="3907D30E" w14:textId="77777777" w:rsidTr="0034260C">
        <w:trPr>
          <w:trHeight w:val="280"/>
          <w:jc w:val="center"/>
        </w:trPr>
        <w:tc>
          <w:tcPr>
            <w:tcW w:w="1000" w:type="dxa"/>
            <w:tcBorders>
              <w:top w:val="nil"/>
              <w:left w:val="nil"/>
              <w:bottom w:val="single" w:sz="4" w:space="0" w:color="auto"/>
              <w:right w:val="nil"/>
            </w:tcBorders>
            <w:shd w:val="clear" w:color="auto" w:fill="auto"/>
            <w:noWrap/>
            <w:vAlign w:val="bottom"/>
            <w:hideMark/>
          </w:tcPr>
          <w:p w14:paraId="29CC9B71" w14:textId="77777777" w:rsidR="00C945A6" w:rsidRPr="00D544C6" w:rsidRDefault="00C945A6" w:rsidP="0034260C">
            <w:pPr>
              <w:rPr>
                <w:color w:val="000000"/>
                <w:lang w:eastAsia="en-ID"/>
              </w:rPr>
            </w:pPr>
            <w:r w:rsidRPr="00D544C6">
              <w:rPr>
                <w:color w:val="000000"/>
                <w:lang w:eastAsia="en-ID"/>
              </w:rPr>
              <w:t>D(IR)</w:t>
            </w:r>
          </w:p>
        </w:tc>
        <w:tc>
          <w:tcPr>
            <w:tcW w:w="1420" w:type="dxa"/>
            <w:tcBorders>
              <w:top w:val="nil"/>
              <w:left w:val="nil"/>
              <w:bottom w:val="single" w:sz="4" w:space="0" w:color="auto"/>
              <w:right w:val="nil"/>
            </w:tcBorders>
            <w:shd w:val="clear" w:color="auto" w:fill="auto"/>
            <w:noWrap/>
            <w:vAlign w:val="bottom"/>
            <w:hideMark/>
          </w:tcPr>
          <w:p w14:paraId="297417E4" w14:textId="77777777" w:rsidR="00C945A6" w:rsidRPr="00D544C6" w:rsidRDefault="00C945A6" w:rsidP="0034260C">
            <w:pPr>
              <w:jc w:val="right"/>
              <w:rPr>
                <w:color w:val="000000"/>
                <w:lang w:eastAsia="en-ID"/>
              </w:rPr>
            </w:pPr>
            <w:r w:rsidRPr="00D544C6">
              <w:rPr>
                <w:color w:val="000000"/>
                <w:lang w:eastAsia="en-ID"/>
              </w:rPr>
              <w:t>-0</w:t>
            </w:r>
            <w:r>
              <w:rPr>
                <w:color w:val="000000"/>
                <w:lang w:eastAsia="en-ID"/>
              </w:rPr>
              <w:t>.</w:t>
            </w:r>
            <w:r w:rsidRPr="00D544C6">
              <w:rPr>
                <w:color w:val="000000"/>
                <w:lang w:eastAsia="en-ID"/>
              </w:rPr>
              <w:t>638361</w:t>
            </w:r>
          </w:p>
        </w:tc>
        <w:tc>
          <w:tcPr>
            <w:tcW w:w="1268" w:type="dxa"/>
            <w:tcBorders>
              <w:top w:val="nil"/>
              <w:left w:val="nil"/>
              <w:bottom w:val="single" w:sz="4" w:space="0" w:color="auto"/>
              <w:right w:val="nil"/>
            </w:tcBorders>
            <w:shd w:val="clear" w:color="auto" w:fill="auto"/>
            <w:noWrap/>
            <w:vAlign w:val="bottom"/>
            <w:hideMark/>
          </w:tcPr>
          <w:p w14:paraId="65C5577F" w14:textId="77777777" w:rsidR="00C945A6" w:rsidRPr="00D544C6" w:rsidRDefault="00C945A6" w:rsidP="0034260C">
            <w:pPr>
              <w:jc w:val="right"/>
              <w:rPr>
                <w:color w:val="000000"/>
                <w:lang w:eastAsia="en-ID"/>
              </w:rPr>
            </w:pPr>
            <w:r w:rsidRPr="00D544C6">
              <w:rPr>
                <w:color w:val="000000"/>
                <w:lang w:eastAsia="en-ID"/>
              </w:rPr>
              <w:t>0</w:t>
            </w:r>
            <w:r>
              <w:rPr>
                <w:color w:val="000000"/>
                <w:lang w:eastAsia="en-ID"/>
              </w:rPr>
              <w:t>.</w:t>
            </w:r>
            <w:r w:rsidRPr="00D544C6">
              <w:rPr>
                <w:color w:val="000000"/>
                <w:lang w:eastAsia="en-ID"/>
              </w:rPr>
              <w:t>0000</w:t>
            </w:r>
          </w:p>
        </w:tc>
        <w:tc>
          <w:tcPr>
            <w:tcW w:w="3258" w:type="dxa"/>
            <w:tcBorders>
              <w:top w:val="nil"/>
              <w:left w:val="nil"/>
              <w:bottom w:val="single" w:sz="4" w:space="0" w:color="auto"/>
              <w:right w:val="nil"/>
            </w:tcBorders>
            <w:shd w:val="clear" w:color="auto" w:fill="auto"/>
            <w:noWrap/>
            <w:vAlign w:val="bottom"/>
            <w:hideMark/>
          </w:tcPr>
          <w:p w14:paraId="5EBAA2E3" w14:textId="4A0D9BD8" w:rsidR="00C945A6" w:rsidRPr="00D544C6" w:rsidRDefault="00CA24A6" w:rsidP="0034260C">
            <w:pPr>
              <w:rPr>
                <w:color w:val="000000"/>
                <w:lang w:eastAsia="en-ID"/>
              </w:rPr>
            </w:pPr>
            <w:r w:rsidRPr="00D544C6">
              <w:rPr>
                <w:color w:val="000000"/>
                <w:lang w:eastAsia="en-ID"/>
              </w:rPr>
              <w:t xml:space="preserve">Significant negative effects </w:t>
            </w:r>
          </w:p>
        </w:tc>
      </w:tr>
    </w:tbl>
    <w:p w14:paraId="0085940C" w14:textId="5BC40D59" w:rsidR="00C945A6" w:rsidRPr="008C6D57" w:rsidRDefault="00C945A6" w:rsidP="00C945A6">
      <w:pPr>
        <w:rPr>
          <w:rFonts w:eastAsiaTheme="minorEastAsia"/>
          <w:i/>
          <w:iCs/>
        </w:rPr>
      </w:pPr>
      <w:r>
        <w:tab/>
      </w:r>
      <w:r w:rsidR="00CA24A6" w:rsidRPr="008C6D57">
        <w:rPr>
          <w:rFonts w:eastAsiaTheme="minorEastAsia"/>
          <w:i/>
          <w:iCs/>
        </w:rPr>
        <w:t xml:space="preserve">Source: data processed using </w:t>
      </w:r>
      <w:proofErr w:type="spellStart"/>
      <w:r w:rsidR="00CA24A6" w:rsidRPr="008C6D57">
        <w:rPr>
          <w:rFonts w:eastAsiaTheme="minorEastAsia"/>
          <w:i/>
          <w:iCs/>
        </w:rPr>
        <w:t>Eviews</w:t>
      </w:r>
      <w:proofErr w:type="spellEnd"/>
      <w:r w:rsidR="00CA24A6" w:rsidRPr="008C6D57">
        <w:rPr>
          <w:rFonts w:eastAsiaTheme="minorEastAsia"/>
          <w:i/>
          <w:iCs/>
        </w:rPr>
        <w:t xml:space="preserve"> 12</w:t>
      </w:r>
    </w:p>
    <w:p w14:paraId="5B7D8FB3" w14:textId="77777777" w:rsidR="00697823" w:rsidRDefault="00697823" w:rsidP="00C945A6">
      <w:pPr>
        <w:rPr>
          <w:b/>
          <w:bCs/>
        </w:rPr>
      </w:pPr>
    </w:p>
    <w:p w14:paraId="6E590975" w14:textId="13CB8CC7" w:rsidR="00665679" w:rsidRPr="00665679" w:rsidRDefault="00CA24A6" w:rsidP="00665679">
      <w:pPr>
        <w:rPr>
          <w:b/>
          <w:bCs/>
        </w:rPr>
      </w:pPr>
      <w:r>
        <w:rPr>
          <w:b/>
          <w:bCs/>
        </w:rPr>
        <w:t>The Effect of Exchange Rate</w:t>
      </w:r>
      <w:r w:rsidR="007D517E">
        <w:rPr>
          <w:b/>
          <w:bCs/>
        </w:rPr>
        <w:t>s</w:t>
      </w:r>
      <w:r>
        <w:rPr>
          <w:b/>
          <w:bCs/>
        </w:rPr>
        <w:t xml:space="preserve"> on Money Supply </w:t>
      </w:r>
    </w:p>
    <w:p w14:paraId="14988136" w14:textId="3F57685C" w:rsidR="00697823" w:rsidRDefault="00665679" w:rsidP="00665679">
      <w:pPr>
        <w:ind w:firstLine="567"/>
        <w:jc w:val="both"/>
      </w:pPr>
      <w:r>
        <w:t xml:space="preserve">Referring to the results of the long-term estimate that obtained a probability value of 0.0000 &lt; 0.05 with a coefficient value of -0.001607, it can be concluded that the exchange rate has a significant negative effect on the money supply in Indonesia. Meanwhile, in the results of short-term estimates, a probability value of 0.1855 &gt; 0.05 with a coefficient value of -0.001176 can be concluded, so it can be concluded that in the short term the exchange rate has no effect on the money supply in Indonesia. This means that in the long run, when the rupiah-US$ exchange rate experiences a growth of 1%, it will have an effect on the reduction of the money supply by -0.001607%. This is in line with research conducted by </w:t>
      </w:r>
      <w:r w:rsidR="00CA24A6">
        <w:t xml:space="preserve"> </w:t>
      </w:r>
      <w:r w:rsidR="00C945A6">
        <w:fldChar w:fldCharType="begin" w:fldLock="1"/>
      </w:r>
      <w:r w:rsidR="00004B81">
        <w:instrText>ADDIN CSL_CITATION {"citationItems":[{"id":"ITEM-1","itemData":{"ISSN":"1391-5614","author":[{"dropping-particle":"","family":"Maitra","given":"Biswajit","non-dropping-particle":"","parse-names":false,"suffix":""}],"container-title":"South Asia Economic Journal","id":"ITEM-1","issue":"1","issued":{"date-parts":[["2019"]]},"page":"111-129","publisher":"SAGE Publications Sage India: New Delhi, India","title":"Money Supply and Exchange Rate Variations in Sri Lanka in the Independent Float Regime—A Time Domain Study","type":"article-journal","volume":"11"},"uris":["http://www.mendeley.com/documents/?uuid=3858c9ae-e66f-4a6b-b440-d1e9920ff221","http://www.mendeley.com/documents/?uuid=f6f0596e-7094-4f2d-9e38-60b30cb204f1"]}],"mendeley":{"formattedCitation":"(Maitra, 2019)","manualFormatting":"Maitra (2019)","plainTextFormattedCitation":"(Maitra, 2019)","previouslyFormattedCitation":"(Maitra, 2019)"},"properties":{"noteIndex":0},"schema":"https://github.com/citation-style-language/schema/raw/master/csl-citation.json"}</w:instrText>
      </w:r>
      <w:r w:rsidR="00C945A6">
        <w:fldChar w:fldCharType="separate"/>
      </w:r>
      <w:r w:rsidR="00C945A6" w:rsidRPr="00957B61">
        <w:rPr>
          <w:noProof/>
        </w:rPr>
        <w:t xml:space="preserve">Maitra </w:t>
      </w:r>
      <w:r w:rsidR="00C945A6">
        <w:rPr>
          <w:noProof/>
        </w:rPr>
        <w:t>(</w:t>
      </w:r>
      <w:r w:rsidR="00C945A6" w:rsidRPr="00957B61">
        <w:rPr>
          <w:noProof/>
        </w:rPr>
        <w:t>2019)</w:t>
      </w:r>
      <w:r w:rsidR="00C945A6">
        <w:fldChar w:fldCharType="end"/>
      </w:r>
      <w:r w:rsidR="00C945A6">
        <w:t xml:space="preserve"> </w:t>
      </w:r>
      <w:r w:rsidR="007D517E">
        <w:t>and</w:t>
      </w:r>
      <w:r w:rsidR="00C945A6">
        <w:t xml:space="preserve"> </w:t>
      </w:r>
      <w:r w:rsidR="00C945A6">
        <w:fldChar w:fldCharType="begin" w:fldLock="1"/>
      </w:r>
      <w:r w:rsidR="00004B81">
        <w:instrText>ADDIN CSL_CITATION {"citationItems":[{"id":"ITEM-1","itemData":{"abstract":"This paper aims at providing quantitative analysis of the dynamics of money supply, exchange rate and inflation in Nigeria. The paper utilizes secondary data that were obtained from the International Financial Statistics (IFS), of all variables investigated in the model. The sample covers quarterly data from 1986:01 to 2008:04. The model was estimated using Vector Error Correction Mechanism (VECM). The empirical results confirms that in the long run, money supply and exchange rate have significant inverse effects on inflationary pressure, while real output growth and foreign price changes have direct effects on inflationary pressure. The possible justification for the inverse effect of money supply on price level is that inflation may not be due to aggregate demand pressure but rather due to hiccups in the supply chain of goods both from the domestic and foreign supply outlets. Empirical deductions also signify the presence of significant feedback from the long run to short run disequilibrium. However, there exists a causal linkage between inflation, money supply and exchange rate in Nigeria. JEL classification numbers: E51, F31, C53","author":[{"dropping-particle":"","family":"Akinbobola","given":"T O","non-dropping-particle":"","parse-names":false,"suffix":""}],"container-title":"Journal of Applied Finance &amp; Banking","id":"ITEM-1","issue":"4","issued":{"date-parts":[["2020"]]},"page":"1792-6599","title":"The dynamics of money supply, exchange rate and inflation in Nigeria","type":"article-journal","volume":"2"},"uris":["http://www.mendeley.com/documents/?uuid=26c41d7f-9de4-4bc3-9334-fb26a4971cdf","http://www.mendeley.com/documents/?uuid=9217ce35-a635-46cd-985f-6b1a322d379a"]}],"mendeley":{"formattedCitation":"(Akinbobola, 2020)","manualFormatting":"Akinbobola (2020)","plainTextFormattedCitation":"(Akinbobola, 2020)","previouslyFormattedCitation":"(Akinbobola, 2020)"},"properties":{"noteIndex":0},"schema":"https://github.com/citation-style-language/schema/raw/master/csl-citation.json"}</w:instrText>
      </w:r>
      <w:r w:rsidR="00C945A6">
        <w:fldChar w:fldCharType="separate"/>
      </w:r>
      <w:r w:rsidR="00C945A6" w:rsidRPr="00957B61">
        <w:rPr>
          <w:noProof/>
        </w:rPr>
        <w:t xml:space="preserve">Akinbobola </w:t>
      </w:r>
      <w:r w:rsidR="00C945A6">
        <w:rPr>
          <w:noProof/>
        </w:rPr>
        <w:t>(</w:t>
      </w:r>
      <w:r w:rsidR="00C945A6" w:rsidRPr="00957B61">
        <w:rPr>
          <w:noProof/>
        </w:rPr>
        <w:t>2020)</w:t>
      </w:r>
      <w:r w:rsidR="00C945A6">
        <w:fldChar w:fldCharType="end"/>
      </w:r>
      <w:r w:rsidR="00C945A6">
        <w:t xml:space="preserve"> </w:t>
      </w:r>
      <w:r w:rsidRPr="00665679">
        <w:t>which states that there is a long-term relationship between the rupiah exchange rate against the US dollar and the amount of money in circulation</w:t>
      </w:r>
      <w:r w:rsidR="00CA24A6">
        <w:t xml:space="preserve">. </w:t>
      </w:r>
      <w:r w:rsidR="00C945A6">
        <w:fldChar w:fldCharType="begin" w:fldLock="1"/>
      </w:r>
      <w:r w:rsidR="00004B81">
        <w:instrText>ADDIN CSL_CITATION {"citationItems":[{"id":"ITEM-1","itemData":{"abstract":"… menentukan pengaruh nila tukar rupiah terhadap jumlah uang … pendek ke jangka panjang pada jumlah uang beredar setiap … melihat pengaruh nilai tukar rupiah terhadap jumlah uang …","author":[{"dropping-particle":"","family":"Hendayanti","given":"Ni Putu Nanik","non-dropping-particle":"","parse-names":false,"suffix":""},{"dropping-particle":"","family":"Nurhidayati","given":"Maulida","non-dropping-particle":"","parse-names":false,"suffix":""},{"dropping-particle":"","family":"Nugrahini","given":"Dwi Setya","non-dropping-particle":"","parse-names":false,"suffix":""}],"container-title":"Konferensi Nasional Sisten &amp; Informatika","id":"ITEM-1","issued":{"date-parts":[["2019"]]},"page":"186-190","title":"Analisis Pengaruh Nilai Tukar Rupiah terhadap Jumlah Uang Beredar dengan Pendekatan Error Correction Model (ECM)","type":"article-journal"},"uris":["http://www.mendeley.com/documents/?uuid=dbea4eb2-4e58-44b4-850b-a0d7c2d52c2a","http://www.mendeley.com/documents/?uuid=aedee5f3-4d8d-40e9-ac24-f34e1b226f4b"]}],"mendeley":{"formattedCitation":"(Hendayanti et al., 2019)","manualFormatting":"Hendayanti et al (2019)","plainTextFormattedCitation":"(Hendayanti et al., 2019)","previouslyFormattedCitation":"(Hendayanti et al., 2019)"},"properties":{"noteIndex":0},"schema":"https://github.com/citation-style-language/schema/raw/master/csl-citation.json"}</w:instrText>
      </w:r>
      <w:r w:rsidR="00C945A6">
        <w:fldChar w:fldCharType="separate"/>
      </w:r>
      <w:r w:rsidR="00C945A6" w:rsidRPr="00957B61">
        <w:rPr>
          <w:noProof/>
        </w:rPr>
        <w:t xml:space="preserve">Hendayanti </w:t>
      </w:r>
      <w:r w:rsidR="00C945A6" w:rsidRPr="00957B61">
        <w:rPr>
          <w:i/>
          <w:iCs/>
          <w:noProof/>
        </w:rPr>
        <w:t>et al</w:t>
      </w:r>
      <w:r w:rsidR="00C945A6" w:rsidRPr="00957B61">
        <w:rPr>
          <w:noProof/>
        </w:rPr>
        <w:t xml:space="preserve"> </w:t>
      </w:r>
      <w:r w:rsidR="00C945A6">
        <w:rPr>
          <w:noProof/>
        </w:rPr>
        <w:t>(</w:t>
      </w:r>
      <w:r w:rsidR="00C945A6" w:rsidRPr="00957B61">
        <w:rPr>
          <w:noProof/>
        </w:rPr>
        <w:t>2019)</w:t>
      </w:r>
      <w:r w:rsidR="00C945A6">
        <w:fldChar w:fldCharType="end"/>
      </w:r>
      <w:r w:rsidR="00C945A6">
        <w:t xml:space="preserve"> </w:t>
      </w:r>
      <w:r w:rsidRPr="00665679">
        <w:t>stated that when the exchange rate increases, people will take the initiative to exchange the dollars they have because it will give them more profits, so this can cause the amount of money supply to increase. In the long term, this research is not in line with the research conducted by</w:t>
      </w:r>
      <w:r>
        <w:t xml:space="preserve"> </w:t>
      </w:r>
      <w:r w:rsidR="00C945A6">
        <w:fldChar w:fldCharType="begin" w:fldLock="1"/>
      </w:r>
      <w:r w:rsidR="00004B81">
        <w:instrText>ADDIN CSL_CITATION {"citationItems":[{"id":"ITEM-1","itemData":{"abstract":"W hen the postwar system of fixed exchange rates collapsed in the early '70s, few imagined just how volatile currency values would be in the ensuing floating-rate era. Fewer still anticipated how difficult it would be to divine any systematic connection between exchange-rate movements and un-derlying changes in economic fundamentals, even at fairly long horizons. Little wonder, then, that so many observers have called for policies to restore limits on exchange-rate fluctuations. Stuffing the genie of floating exchange rates back into its bottle is, however, easier said than done. Many recent efforts to peg exchange rates within narrow ranges have ended in spectacular debacles. The Bank of England is rumored to have taken more than a $5 billion capital loss within a few hours in its vain attempt to prevent the collapse of the pound in September 1992. Many other European central banks suffered similar fates in 1992–93. Indeed, the once proud European Monetary System (EMS) has now been forced to retreat to exchange-rate bands 30 percent wide (±15 percent around a central rate), a system barely distinguish-able from floating. Nor have developing countries found it any easier to peg exchange rates in the '90s. Mexico, for example, spent $25 billion in reserves and borrowed $25 billion more to defend the peso's dollar peg in 1994; it suffered huge losses when the peso collapsed at year-end. These events are not unprecedented, but their ferocity and scope have called into question the viability of fixed rates among sovereign nations in today's world of highly developed global capital markets. 1 1 For statements of the argument that fixed exchange rates are inherently fragile nowadays, see Eichen-green (1994), Obstfeld (1985) and Svensson (1994). In this paper we argue that for most countries, it is folly to try to recapture the lost innocence of fixed exchange rates. As a number of examples show, a fixed exchange rate is very costly for a government to maintain when its promises not to devalue lack credibility. At the same time, developing and maintaining credibility has become increasingly difficult. A careful examination of the genesis of specula-tive attacks suggests that even broad-band systems a la EMS pose difficulties, and that there is little, if any, comfortable middle ground between floating rates and the adoption of a common currency. In our view, efforts to reform monetary insti-tutions should focus directly on restraining domestic inflation. The e…","author":[{"dropping-particle":"","family":"Obstfeld","given":"Maurice","non-dropping-particle":"","parse-names":false,"suffix":""},{"dropping-particle":"","family":"Rogoff","given":"Kenneth","non-dropping-particle":"","parse-names":false,"suffix":""}],"container-title":"Journal of Economic Perspectives","id":"ITEM-1","issue":"4","issued":{"date-parts":[["2021"]]},"page":"73-96","title":"The Mirage of Fixed Exchange Rates Fixed Exchange Rates: Their Operation, Costs and Benefits","type":"article-journal","volume":"9"},"uris":["http://www.mendeley.com/documents/?uuid=fccd3c5d-616c-4bed-bac1-f5dda2fede23","http://www.mendeley.com/documents/?uuid=d6d3f0dc-812e-48dd-a656-5b21aa9da946"]}],"mendeley":{"formattedCitation":"(Obstfeld &amp; Rogoff, 2021)","manualFormatting":"Obstfeld &amp; Rogoff (2021)","plainTextFormattedCitation":"(Obstfeld &amp; Rogoff, 2021)","previouslyFormattedCitation":"(Obstfeld &amp; Rogoff, 2021)"},"properties":{"noteIndex":0},"schema":"https://github.com/citation-style-language/schema/raw/master/csl-citation.json"}</w:instrText>
      </w:r>
      <w:r w:rsidR="00C945A6">
        <w:fldChar w:fldCharType="separate"/>
      </w:r>
      <w:r w:rsidR="00C945A6" w:rsidRPr="00957B61">
        <w:rPr>
          <w:noProof/>
        </w:rPr>
        <w:t xml:space="preserve">Obstfeld &amp; Rogoff </w:t>
      </w:r>
      <w:r w:rsidR="00C945A6">
        <w:rPr>
          <w:noProof/>
        </w:rPr>
        <w:t>(</w:t>
      </w:r>
      <w:r w:rsidR="00C945A6" w:rsidRPr="00957B61">
        <w:rPr>
          <w:noProof/>
        </w:rPr>
        <w:t>2021)</w:t>
      </w:r>
      <w:r w:rsidR="00C945A6">
        <w:fldChar w:fldCharType="end"/>
      </w:r>
      <w:r w:rsidR="00C945A6">
        <w:t xml:space="preserve"> </w:t>
      </w:r>
      <w:r w:rsidR="00CA24A6">
        <w:t>and</w:t>
      </w:r>
      <w:r w:rsidR="00C945A6">
        <w:t xml:space="preserve"> </w:t>
      </w:r>
      <w:r w:rsidR="00C945A6">
        <w:fldChar w:fldCharType="begin" w:fldLock="1"/>
      </w:r>
      <w:r w:rsidR="00004B81">
        <w:instrText>ADDIN CSL_CITATION {"citationItems":[{"id":"ITEM-1","itemData":{"ISSN":"0034-6535","author":[{"dropping-particle":"","family":"Obstfeld","given":"Maurice","non-dropping-particle":"","parse-names":false,"suffix":""},{"dropping-particle":"","family":"Shambaugh","given":"Jay C","non-dropping-particle":"","parse-names":false,"suffix":""},{"dropping-particle":"","family":"Taylor","given":"Alan M","non-dropping-particle":"","parse-names":false,"suffix":""}],"container-title":"Review of economics and statistics","id":"ITEM-1","issue":"3","issued":{"date-parts":[["2022"]]},"page":"423-438","publisher":"MIT Press 238 Main St., Suite 500, Cambridge, MA 02142-1046, USA journals …","title":"The trilemma in history: tradeoffs among exchange rates, monetary policies, and capital mobility","type":"article-journal","volume":"87"},"uris":["http://www.mendeley.com/documents/?uuid=0512d1b7-a52e-4743-aa88-48836b00436c","http://www.mendeley.com/documents/?uuid=ab13cdd1-9401-4c43-ac1b-55985f4f6355"]}],"mendeley":{"formattedCitation":"(Obstfeld et al., 2022)","manualFormatting":"Obstfeld et al (2022)","plainTextFormattedCitation":"(Obstfeld et al., 2022)","previouslyFormattedCitation":"(Obstfeld et al., 2022)"},"properties":{"noteIndex":0},"schema":"https://github.com/citation-style-language/schema/raw/master/csl-citation.json"}</w:instrText>
      </w:r>
      <w:r w:rsidR="00C945A6">
        <w:fldChar w:fldCharType="separate"/>
      </w:r>
      <w:r w:rsidR="00C945A6" w:rsidRPr="00957B61">
        <w:rPr>
          <w:noProof/>
        </w:rPr>
        <w:t xml:space="preserve">Obstfeld </w:t>
      </w:r>
      <w:r w:rsidR="00C945A6" w:rsidRPr="00957B61">
        <w:rPr>
          <w:i/>
          <w:iCs/>
          <w:noProof/>
        </w:rPr>
        <w:t>et al</w:t>
      </w:r>
      <w:r w:rsidR="00C945A6" w:rsidRPr="00957B61">
        <w:rPr>
          <w:noProof/>
        </w:rPr>
        <w:t xml:space="preserve"> </w:t>
      </w:r>
      <w:r w:rsidR="00C945A6">
        <w:rPr>
          <w:noProof/>
        </w:rPr>
        <w:t>(</w:t>
      </w:r>
      <w:r w:rsidR="00C945A6" w:rsidRPr="00957B61">
        <w:rPr>
          <w:noProof/>
        </w:rPr>
        <w:t>2022)</w:t>
      </w:r>
      <w:r w:rsidR="00C945A6">
        <w:fldChar w:fldCharType="end"/>
      </w:r>
      <w:r w:rsidR="00CA24A6">
        <w:t xml:space="preserve"> </w:t>
      </w:r>
      <w:r w:rsidRPr="00665679">
        <w:t xml:space="preserve">, which states that the exchange rate does not affect the condition or amount of money in circulation in a country, but the two studies are in line with the results of the short-term estimation test in this study. This can happen when a country adheres to a floating exchange rate system where the exchange rate is determined by market forces, namely supply and demand, without direct intervention by the central bank, so that the </w:t>
      </w:r>
      <w:r w:rsidRPr="00665679">
        <w:lastRenderedPageBreak/>
        <w:t>central bank does not use its reserves to maintain the exchange rate and changes in the exchange rate do not directly affect the amount of money in circulation.</w:t>
      </w:r>
      <w:r w:rsidR="00CA24A6">
        <w:t xml:space="preserve"> </w:t>
      </w:r>
    </w:p>
    <w:p w14:paraId="4D7A21ED" w14:textId="77777777" w:rsidR="00DA3E9F" w:rsidRPr="00DA3E9F" w:rsidRDefault="00DA3E9F" w:rsidP="00DA3E9F">
      <w:pPr>
        <w:ind w:firstLine="567"/>
        <w:jc w:val="both"/>
      </w:pPr>
    </w:p>
    <w:p w14:paraId="776C7B9D" w14:textId="77777777" w:rsidR="00CA24A6" w:rsidRDefault="00CA24A6" w:rsidP="00DB47B3">
      <w:pPr>
        <w:rPr>
          <w:b/>
          <w:bCs/>
        </w:rPr>
      </w:pPr>
      <w:r>
        <w:rPr>
          <w:b/>
          <w:bCs/>
        </w:rPr>
        <w:t xml:space="preserve">The Effect of Foreign Direct Investment on Money Supply </w:t>
      </w:r>
    </w:p>
    <w:p w14:paraId="0CD98E71" w14:textId="3772724C" w:rsidR="00697823" w:rsidRDefault="00665679" w:rsidP="00665679">
      <w:pPr>
        <w:ind w:firstLine="567"/>
        <w:jc w:val="both"/>
      </w:pPr>
      <w:r w:rsidRPr="00665679">
        <w:t>Referring to the results of the long-term estimate that obtained a probability value of 0.0059 &lt; 0.05 with a coefficient value of 1.977782, it can be concluded that foreign direct investment has a significant positive effect on the amount of money supply in Indonesia. Meanwhile, based on the short-term estimation results obtained with a probability value of 0.1227 &gt; 0.05 and a coefficient value of 1.113972, it can be concluded that in the short term, foreign direct investment has no effect on the amount of money supply in Indonesia. This means that in the long run, when foreign direct investment experiences a growth of 1%, it will have an effect on the increase in the money supply of 1.977782%. This is in line with research conducted by</w:t>
      </w:r>
      <w:r w:rsidR="00C945A6">
        <w:t xml:space="preserve"> </w:t>
      </w:r>
      <w:r w:rsidR="00C945A6">
        <w:fldChar w:fldCharType="begin" w:fldLock="1"/>
      </w:r>
      <w:r w:rsidR="00004B81">
        <w:instrText>ADDIN CSL_CITATION {"citationItems":[{"id":"ITEM-1","itemData":{"author":[{"dropping-particle":"","family":"Sarno","given":"Lucio","non-dropping-particle":"","parse-names":false,"suffix":""},{"dropping-particle":"","family":"Taylor","given":"Mark P","non-dropping-particle":"","parse-names":false,"suffix":""},{"dropping-particle":"","family":"Sarno","given":"Lucio","non-dropping-particle":"","parse-names":false,"suffix":""},{"dropping-particle":"","family":"Taylor","given":"Mark P","non-dropping-particle":"","parse-names":false,"suffix":""}],"id":"ITEM-1","issue":"3","issued":{"date-parts":[["2020"]]},"page":"839-868","title":"Official Intervention in the Foreign Exchange Market : Is It Effective and , If so , How Official Intervention in the Foreign Exchange Market : Is It Effective and , If So , How Does It Work ?","type":"article-journal","volume":"39"},"uris":["http://www.mendeley.com/documents/?uuid=d16c9d01-dc69-4b07-8a08-2067d62219b6","http://www.mendeley.com/documents/?uuid=0126fbac-6ebe-4a9b-930d-1f70c7eeaedd"]}],"mendeley":{"formattedCitation":"(Sarno et al., 2020)","manualFormatting":"Sarno et al (2020)","plainTextFormattedCitation":"(Sarno et al., 2020)","previouslyFormattedCitation":"(Sarno et al., 2020)"},"properties":{"noteIndex":0},"schema":"https://github.com/citation-style-language/schema/raw/master/csl-citation.json"}</w:instrText>
      </w:r>
      <w:r w:rsidR="00C945A6">
        <w:fldChar w:fldCharType="separate"/>
      </w:r>
      <w:r w:rsidR="00C945A6" w:rsidRPr="00957B61">
        <w:rPr>
          <w:noProof/>
        </w:rPr>
        <w:t xml:space="preserve">Sarno </w:t>
      </w:r>
      <w:r w:rsidR="00C945A6" w:rsidRPr="00957B61">
        <w:rPr>
          <w:i/>
          <w:iCs/>
          <w:noProof/>
        </w:rPr>
        <w:t>et al</w:t>
      </w:r>
      <w:r w:rsidR="00C945A6" w:rsidRPr="00957B61">
        <w:rPr>
          <w:noProof/>
        </w:rPr>
        <w:t xml:space="preserve"> </w:t>
      </w:r>
      <w:r w:rsidR="00C945A6">
        <w:rPr>
          <w:noProof/>
        </w:rPr>
        <w:t>(</w:t>
      </w:r>
      <w:r w:rsidR="00C945A6" w:rsidRPr="00957B61">
        <w:rPr>
          <w:noProof/>
        </w:rPr>
        <w:t>2020)</w:t>
      </w:r>
      <w:r w:rsidR="00C945A6">
        <w:fldChar w:fldCharType="end"/>
      </w:r>
      <w:r w:rsidR="00C945A6">
        <w:t xml:space="preserve"> </w:t>
      </w:r>
      <w:r w:rsidR="00CA24A6">
        <w:t>and</w:t>
      </w:r>
      <w:r w:rsidR="00C945A6">
        <w:t xml:space="preserve"> </w:t>
      </w:r>
      <w:r w:rsidR="00C945A6">
        <w:fldChar w:fldCharType="begin" w:fldLock="1"/>
      </w:r>
      <w:r w:rsidR="00004B81">
        <w:instrText>ADDIN CSL_CITATION {"citationItems":[{"id":"ITEM-1","itemData":{"ISSN":"1475-3693","author":[{"dropping-particle":"","family":"Omran","given":"Mohammed","non-dropping-particle":"","parse-names":false,"suffix":""},{"dropping-particle":"","family":"Bolbol","given":"Ali","non-dropping-particle":"","parse-names":false,"suffix":""}],"container-title":"Review of Middle East Economics and Finance","id":"ITEM-1","issue":"3","issued":{"date-parts":[["2022"]]},"page":"37-55","publisher":"De Gruyter","title":"Foreign direct investment, financial development, and economic growth: evidence from the Arab countries","type":"article-journal","volume":"1"},"uris":["http://www.mendeley.com/documents/?uuid=9461d92b-6a4f-41ba-af5b-48626cfe717a","http://www.mendeley.com/documents/?uuid=08752b6f-a9e7-4728-96e4-b6568bc59564"]}],"mendeley":{"formattedCitation":"(Omran &amp; Bolbol, 2022)","manualFormatting":"Omran &amp; Bolbol (2022)","plainTextFormattedCitation":"(Omran &amp; Bolbol, 2022)","previouslyFormattedCitation":"(Omran &amp; Bolbol, 2022)"},"properties":{"noteIndex":0},"schema":"https://github.com/citation-style-language/schema/raw/master/csl-citation.json"}</w:instrText>
      </w:r>
      <w:r w:rsidR="00C945A6">
        <w:fldChar w:fldCharType="separate"/>
      </w:r>
      <w:r w:rsidR="00C945A6" w:rsidRPr="00957B61">
        <w:rPr>
          <w:noProof/>
        </w:rPr>
        <w:t xml:space="preserve">Omran &amp; Bolbol </w:t>
      </w:r>
      <w:r w:rsidR="00C945A6">
        <w:rPr>
          <w:noProof/>
        </w:rPr>
        <w:t>(</w:t>
      </w:r>
      <w:r w:rsidR="00C945A6" w:rsidRPr="00957B61">
        <w:rPr>
          <w:noProof/>
        </w:rPr>
        <w:t>2022)</w:t>
      </w:r>
      <w:r w:rsidR="00C945A6">
        <w:fldChar w:fldCharType="end"/>
      </w:r>
      <w:r w:rsidR="007B17F3">
        <w:t xml:space="preserve"> </w:t>
      </w:r>
      <w:r w:rsidRPr="00665679">
        <w:t>which states that foreign direct investment has an effect on the money supply. This happens because FDI inflows contribute to the financial balance of payments surplus. The surplus can lead to an increase in the central bank's foreign exchange reserves, which has the potential to have an impact on the money supply. In the long term, this research is not in line with the research conducted by</w:t>
      </w:r>
      <w:r w:rsidR="00CA24A6">
        <w:t xml:space="preserve"> </w:t>
      </w:r>
      <w:r w:rsidR="00C945A6">
        <w:fldChar w:fldCharType="begin" w:fldLock="1"/>
      </w:r>
      <w:r w:rsidR="00B94717">
        <w:instrText>ADDIN CSL_CITATION {"citationItems":[{"id":"ITEM-1","itemData":{"DOI":"10.58192/profit.v1i3.324","ISSN":"2963-4989","abstract":"The purpose of this study was to determine the effect of inflation, interest rates and investment on the money supply in Indonesia from 1991 to 2021. The money supply (JUB) is the total value of money in the hands of the public, consisting of currency and demand deposits. Theoretically, the money supply will affect the value of money implemented at the price and product levels. Factors that affect the money supply are income, inflation, interest. Therefore, the method that can be used is the Error Correction Model (ECM). and the data used is quantitative data, because the data is used to calculate the effect on the variable amount of money in circulation. The data source used is in the form of secondary data, which is data obtained from official sites or websites. The results of this study are that the variable inflation and interest rates have a significant effect on the amount of money in circulation, then the investment variable has no effect and is not significant on the amount of money in circulation","author":[{"dropping-particle":"","family":"Hafizh","given":"Ahmad","non-dropping-particle":"Al","parse-names":false,"suffix":""}],"container-title":"Profit: Jurnal Manajemen, Bisnis dan Akuntansi","id":"ITEM-1","issue":"3","issued":{"date-parts":[["2022"]]},"page":"63-73","title":"Analisis Pengaruh Inflasi, Suku Bunga (Sb) Dan Investasi Terhadap Jumlah Uang Beredar (Jub) Di Indonesia Tahun 1991 - 2022","type":"article-journal","volume":"1"},"uris":["http://www.mendeley.com/documents/?uuid=710a4318-dca9-46e2-ab48-0aaf831aa8ee"]}],"mendeley":{"formattedCitation":"(Al Hafizh, 2022)","manualFormatting":"Hafizh (2022)","plainTextFormattedCitation":"(Al Hafizh, 2022)","previouslyFormattedCitation":"(Al Hafizh, 2022)"},"properties":{"noteIndex":0},"schema":"https://github.com/citation-style-language/schema/raw/master/csl-citation.json"}</w:instrText>
      </w:r>
      <w:r w:rsidR="00C945A6">
        <w:fldChar w:fldCharType="separate"/>
      </w:r>
      <w:r w:rsidR="00C945A6" w:rsidRPr="0006386B">
        <w:rPr>
          <w:noProof/>
        </w:rPr>
        <w:t xml:space="preserve">Hafizh </w:t>
      </w:r>
      <w:r w:rsidR="00C945A6">
        <w:rPr>
          <w:noProof/>
        </w:rPr>
        <w:t>(</w:t>
      </w:r>
      <w:r w:rsidR="00C945A6" w:rsidRPr="0006386B">
        <w:rPr>
          <w:noProof/>
        </w:rPr>
        <w:t>2022)</w:t>
      </w:r>
      <w:r w:rsidR="00C945A6">
        <w:fldChar w:fldCharType="end"/>
      </w:r>
      <w:r w:rsidR="00C945A6">
        <w:t xml:space="preserve"> </w:t>
      </w:r>
      <w:r w:rsidRPr="00665679">
        <w:t>which states that foreign direct investment has no significant effect on the money supply. This is possible because central banks can effectively use sterilized interventions to manage the monetary impact of foreign investment. By balancing foreign currency inflows with domestic operations, they maintain control over the amount of money in circulation.</w:t>
      </w:r>
    </w:p>
    <w:p w14:paraId="1CE687A8" w14:textId="77777777" w:rsidR="00665679" w:rsidRDefault="00665679" w:rsidP="00665679">
      <w:pPr>
        <w:ind w:firstLine="567"/>
        <w:jc w:val="both"/>
        <w:rPr>
          <w:b/>
          <w:bCs/>
        </w:rPr>
      </w:pPr>
    </w:p>
    <w:p w14:paraId="54AC7F56" w14:textId="77777777" w:rsidR="00CA24A6" w:rsidRDefault="00CA24A6" w:rsidP="002B5CE7">
      <w:pPr>
        <w:rPr>
          <w:b/>
          <w:bCs/>
        </w:rPr>
      </w:pPr>
      <w:r>
        <w:rPr>
          <w:b/>
          <w:bCs/>
        </w:rPr>
        <w:t xml:space="preserve">The Effect of GDP on Money Supply </w:t>
      </w:r>
    </w:p>
    <w:p w14:paraId="61BCCAA5" w14:textId="47EFB863" w:rsidR="00CA24A6" w:rsidRPr="003453FC" w:rsidRDefault="00665679" w:rsidP="003453FC">
      <w:pPr>
        <w:ind w:firstLine="567"/>
        <w:jc w:val="both"/>
      </w:pPr>
      <w:r w:rsidRPr="00665679">
        <w:t>Referring to the results of long-term estimates that obtain probability values of 0.0009 &lt; 0.05 with a coefficient value of -1.556494, it can be concluded that GDP has a negative effect on the money supply in Indonesia. Meanwhile, from the short-term estimation results obtained with a probability value of 0.0001 &lt; 0.05 and a coefficient value of -1.5708525, it can be concluded that in the short term, GDP has a significant negative effect on the amount of money supply in Indonesia. This means that in the long and short term, when GDP grows by 1%, it will have an effect on the decrease in the amount of money in circulation in Indonesia by -1.556494% in the long term and 1.5708525% in the short term. The results of this study are in line with the research conducted by</w:t>
      </w:r>
      <w:r w:rsidR="00C945A6">
        <w:t xml:space="preserve"> </w:t>
      </w:r>
      <w:r w:rsidR="00C945A6">
        <w:fldChar w:fldCharType="begin" w:fldLock="1"/>
      </w:r>
      <w:r w:rsidR="00004B81">
        <w:instrText>ADDIN CSL_CITATION {"citationItems":[{"id":"ITEM-1","itemData":{"author":[{"dropping-particle":"","family":"Shekhani","given":"Asan Jalal Abdulqadir","non-dropping-particle":"","parse-names":false,"suffix":""}],"id":"ITEM-1","issued":{"date-parts":[["2022"]]},"publisher":"Sakarya Üniversitesi","title":"A study on the relationship between money supply and macroeconomic variables in some selected middle eastern countries= Seçilmiş bazı orta doğu ülkeleri için para arzı ve makroekonomik değişkenler arasındaki ilişki üzerine bir çalışma","type":"article-journal"},"uris":["http://www.mendeley.com/documents/?uuid=43e5bdf6-2581-4101-9f72-7ff815462fc3","http://www.mendeley.com/documents/?uuid=9be81800-1446-4b1a-a115-5bd8d8c353ae"]}],"mendeley":{"formattedCitation":"(Shekhani, 2022)","manualFormatting":"Shekhani (2022)","plainTextFormattedCitation":"(Shekhani, 2022)","previouslyFormattedCitation":"(Shekhani, 2022)"},"properties":{"noteIndex":0},"schema":"https://github.com/citation-style-language/schema/raw/master/csl-citation.json"}</w:instrText>
      </w:r>
      <w:r w:rsidR="00C945A6">
        <w:fldChar w:fldCharType="separate"/>
      </w:r>
      <w:r w:rsidR="00C945A6" w:rsidRPr="00C94FF3">
        <w:rPr>
          <w:noProof/>
        </w:rPr>
        <w:t xml:space="preserve">Shekhani </w:t>
      </w:r>
      <w:r w:rsidR="00C945A6">
        <w:rPr>
          <w:noProof/>
        </w:rPr>
        <w:t>(</w:t>
      </w:r>
      <w:r w:rsidR="00C945A6" w:rsidRPr="00C94FF3">
        <w:rPr>
          <w:noProof/>
        </w:rPr>
        <w:t>2022)</w:t>
      </w:r>
      <w:r w:rsidR="00C945A6">
        <w:fldChar w:fldCharType="end"/>
      </w:r>
      <w:r w:rsidR="00C945A6">
        <w:t xml:space="preserve"> </w:t>
      </w:r>
      <w:r w:rsidR="00CA24A6">
        <w:t>and</w:t>
      </w:r>
      <w:r w:rsidR="00C945A6">
        <w:t xml:space="preserve"> </w:t>
      </w:r>
      <w:r w:rsidR="00C945A6">
        <w:fldChar w:fldCharType="begin" w:fldLock="1"/>
      </w:r>
      <w:r w:rsidR="00004B81">
        <w:instrText>ADDIN CSL_CITATION {"citationItems":[{"id":"ITEM-1","itemData":{"author":[{"dropping-particle":"","family":"Paul","given":"Thomas Muthucattu","non-dropping-particle":"","parse-names":false,"suffix":""},{"dropping-particle":"","family":"Inore","given":"Ishmael","non-dropping-particle":"","parse-names":false,"suffix":""},{"dropping-particle":"","family":"Kimata","given":"James","non-dropping-particle":"","parse-names":false,"suffix":""}],"id":"ITEM-1","issued":{"date-parts":[["2023"]]},"page":"1069-1081","title":"A Study of Inflation , Exchange Rates , Money Supply , and Real GDP , Employing the Cointegration , and Error Correction Models for Annual Data between 1977 to 2020 for Papua New Guinea- a Pacific Island Country","type":"article-journal"},"uris":["http://www.mendeley.com/documents/?uuid=0e4c17e4-b31c-4ade-b680-c4db9e991134","http://www.mendeley.com/documents/?uuid=cb213733-2445-4297-8cec-3371e3de67cc"]}],"mendeley":{"formattedCitation":"(Paul et al., 2023)","manualFormatting":"Paul et al (2023)","plainTextFormattedCitation":"(Paul et al., 2023)","previouslyFormattedCitation":"(Paul et al., 2023)"},"properties":{"noteIndex":0},"schema":"https://github.com/citation-style-language/schema/raw/master/csl-citation.json"}</w:instrText>
      </w:r>
      <w:r w:rsidR="00C945A6">
        <w:fldChar w:fldCharType="separate"/>
      </w:r>
      <w:r w:rsidR="00C945A6" w:rsidRPr="00F63F86">
        <w:rPr>
          <w:noProof/>
        </w:rPr>
        <w:t xml:space="preserve">Paul </w:t>
      </w:r>
      <w:r w:rsidR="00C945A6" w:rsidRPr="00F03BF3">
        <w:rPr>
          <w:i/>
          <w:iCs/>
          <w:noProof/>
        </w:rPr>
        <w:t>et al</w:t>
      </w:r>
      <w:r w:rsidR="00C945A6" w:rsidRPr="00F63F86">
        <w:rPr>
          <w:noProof/>
        </w:rPr>
        <w:t xml:space="preserve"> </w:t>
      </w:r>
      <w:r w:rsidR="00C945A6">
        <w:rPr>
          <w:noProof/>
        </w:rPr>
        <w:t>(</w:t>
      </w:r>
      <w:r w:rsidR="00C945A6" w:rsidRPr="00F63F86">
        <w:rPr>
          <w:noProof/>
        </w:rPr>
        <w:t>2023)</w:t>
      </w:r>
      <w:r w:rsidR="00C945A6">
        <w:fldChar w:fldCharType="end"/>
      </w:r>
      <w:r w:rsidR="00C945A6">
        <w:t xml:space="preserve"> </w:t>
      </w:r>
      <w:r w:rsidRPr="00665679">
        <w:t>who stated that GDP has a significant effect on the money supply. This occurs when the central bank uses the adjustment of the money supply as a tool to stabilize the economy. For example, in response to a decline in GDP, the central bank may increase the money supply to stimulate economic activity. This can also happen when GDP grows, economic activity increases, leading to a higher demand for money. Businesses and consumers need more money to transact, which can encourage central banks to increase the money supply. However, the results in this study are not in line with the research conducted by</w:t>
      </w:r>
      <w:r w:rsidR="00C945A6">
        <w:t xml:space="preserve"> </w:t>
      </w:r>
      <w:r w:rsidR="00C945A6">
        <w:fldChar w:fldCharType="begin" w:fldLock="1"/>
      </w:r>
      <w:r w:rsidR="00004B81">
        <w:instrText>ADDIN CSL_CITATION {"citationItems":[{"id":"ITEM-1","itemData":{"ISBN":"9789289939782","author":[{"dropping-particle":"","family":"Rastagno","given":"Massimo","non-dropping-particle":"","parse-names":false,"suffix":""}],"id":"ITEM-1","issue":"2346","issued":{"date-parts":[["2019"]]},"title":"A tale of two decades: The ECB's monetary policy at 20","type":"article-journal"},"uris":["http://www.mendeley.com/documents/?uuid=eac10f21-e5b6-4cd1-bec9-94eca0167421","http://www.mendeley.com/documents/?uuid=f5c55dee-f44f-4e8d-9b71-380257919c4d"]}],"mendeley":{"formattedCitation":"(Rastagno, 2019)","manualFormatting":"Rastagno (2019)","plainTextFormattedCitation":"(Rastagno, 2019)","previouslyFormattedCitation":"(Rastagno, 2019)"},"properties":{"noteIndex":0},"schema":"https://github.com/citation-style-language/schema/raw/master/csl-citation.json"}</w:instrText>
      </w:r>
      <w:r w:rsidR="00C945A6">
        <w:fldChar w:fldCharType="separate"/>
      </w:r>
      <w:r w:rsidR="00C945A6" w:rsidRPr="0095797E">
        <w:rPr>
          <w:noProof/>
        </w:rPr>
        <w:t xml:space="preserve">Rastagno </w:t>
      </w:r>
      <w:r w:rsidR="00C945A6">
        <w:rPr>
          <w:noProof/>
        </w:rPr>
        <w:t>(</w:t>
      </w:r>
      <w:r w:rsidR="00C945A6" w:rsidRPr="0095797E">
        <w:rPr>
          <w:noProof/>
        </w:rPr>
        <w:t>2019)</w:t>
      </w:r>
      <w:r w:rsidR="00C945A6">
        <w:fldChar w:fldCharType="end"/>
      </w:r>
      <w:r w:rsidR="00C945A6">
        <w:t xml:space="preserve"> </w:t>
      </w:r>
      <w:r w:rsidRPr="00665679">
        <w:t>which states that there is no significant influence between GDP and the amount of money in circulation. This happens because economies that use a fixed exchange rate system often maintain the amount of money in circulation associated with foreign exchange reserves compared to domestic GDP. This mechanism implies that changes in the amount of money in the domestic supply are driven by the dynamics of the foreign exchange rate, not the output of the domestic economy.</w:t>
      </w:r>
    </w:p>
    <w:p w14:paraId="22B711F5" w14:textId="77777777" w:rsidR="00CA24A6" w:rsidRDefault="00CA24A6" w:rsidP="00391791">
      <w:pPr>
        <w:rPr>
          <w:b/>
          <w:bCs/>
        </w:rPr>
      </w:pPr>
      <w:r>
        <w:rPr>
          <w:b/>
          <w:bCs/>
        </w:rPr>
        <w:lastRenderedPageBreak/>
        <w:t>The Effect of Government Expenditure on Money Supply</w:t>
      </w:r>
    </w:p>
    <w:p w14:paraId="6B5F59A7" w14:textId="0570A78D" w:rsidR="00665679" w:rsidRDefault="00665679" w:rsidP="00665679">
      <w:pPr>
        <w:ind w:firstLine="567"/>
        <w:jc w:val="both"/>
      </w:pPr>
      <w:r w:rsidRPr="00665679">
        <w:t>Referring to the results of long-term estimates that obtain a probability value of 0.6455 &gt; 0.05 with a coefficient value of -0.502535, it can be concluded that government spending does not have a significant effect on the money supply in Indonesia. Meanwhile, from the short-term estimation results, which obtained a probability value of 0.2276 &gt; 0.05 with a coefficient value of -1.693207, it can be concluded that short-term government spending does not have a significant effect on the amount of money supply in Indonesia. This means that in the long term or in the short term, when government spending experiences a growth of 1%, it will not have any effect on the money supply in Indonesia. The results of this study are in line with the research conducted by</w:t>
      </w:r>
      <w:r w:rsidR="00C945A6">
        <w:t xml:space="preserve"> </w:t>
      </w:r>
      <w:r w:rsidR="00C945A6">
        <w:fldChar w:fldCharType="begin" w:fldLock="1"/>
      </w:r>
      <w:r w:rsidR="00004B81">
        <w:instrText>ADDIN CSL_CITATION {"citationItems":[{"id":"ITEM-1","itemData":{"author":[{"dropping-particle":"","family":"Osakwe","given":"J O","non-dropping-particle":"","parse-names":false,"suffix":""}],"id":"ITEM-1","issued":{"date-parts":[["2019"]]},"publisher":"Central Bank of Nigeria, Research Department.","title":"Government expenditures, money supply and prices: 1970-80.","type":"article-journal"},"uris":["http://www.mendeley.com/documents/?uuid=c1a79497-775a-460d-8eb7-cf4db4e6c5f9","http://www.mendeley.com/documents/?uuid=b0dba042-75ce-4376-ac37-cc83d5bef9fe"]}],"mendeley":{"formattedCitation":"(Osakwe, 2019)","manualFormatting":"Osakwe (2019)","plainTextFormattedCitation":"(Osakwe, 2019)","previouslyFormattedCitation":"(Osakwe, 2019)"},"properties":{"noteIndex":0},"schema":"https://github.com/citation-style-language/schema/raw/master/csl-citation.json"}</w:instrText>
      </w:r>
      <w:r w:rsidR="00C945A6">
        <w:fldChar w:fldCharType="separate"/>
      </w:r>
      <w:r w:rsidR="00C945A6" w:rsidRPr="00BD44A1">
        <w:rPr>
          <w:noProof/>
        </w:rPr>
        <w:t xml:space="preserve">Osakwe </w:t>
      </w:r>
      <w:r w:rsidR="00C945A6">
        <w:rPr>
          <w:noProof/>
        </w:rPr>
        <w:t>(</w:t>
      </w:r>
      <w:r w:rsidR="00C945A6" w:rsidRPr="00BD44A1">
        <w:rPr>
          <w:noProof/>
        </w:rPr>
        <w:t>2019)</w:t>
      </w:r>
      <w:r w:rsidR="00C945A6">
        <w:fldChar w:fldCharType="end"/>
      </w:r>
      <w:r w:rsidR="007863F9">
        <w:t xml:space="preserve"> </w:t>
      </w:r>
      <w:r w:rsidR="00CA24A6">
        <w:t xml:space="preserve">and </w:t>
      </w:r>
      <w:r w:rsidR="00C945A6">
        <w:fldChar w:fldCharType="begin" w:fldLock="1"/>
      </w:r>
      <w:r w:rsidR="00004B81">
        <w:instrText>ADDIN CSL_CITATION {"citationItems":[{"id":"ITEM-1","itemData":{"ISSN":"0304-3932","author":[{"dropping-particle":"","family":"Chang","given":"Chun","non-dropping-particle":"","parse-names":false,"suffix":""},{"dropping-particle":"","family":"Liu","given":"Zheng","non-dropping-particle":"","parse-names":false,"suffix":""},{"dropping-particle":"","family":"Spiegel","given":"Mark M","non-dropping-particle":"","parse-names":false,"suffix":""},{"dropping-particle":"","family":"Zhang","given":"Jingyi","non-dropping-particle":"","parse-names":false,"suffix":""}],"container-title":"Journal of Monetary Economics","id":"ITEM-1","issued":{"date-parts":[["2019"]]},"page":"33-51","publisher":"Elsevier","title":"Reserve requirements and optimal Chinese stabilization policy","type":"article-journal","volume":"103"},"uris":["http://www.mendeley.com/documents/?uuid=ea1bde13-3fd2-466e-aa9c-025b0b321e8f","http://www.mendeley.com/documents/?uuid=d413bad9-3001-402f-9470-7b3bda9e251c"]}],"mendeley":{"formattedCitation":"(Chang et al., 2019)","manualFormatting":"Chang et al (2019)","plainTextFormattedCitation":"(Chang et al., 2019)","previouslyFormattedCitation":"(Chang et al., 2019)"},"properties":{"noteIndex":0},"schema":"https://github.com/citation-style-language/schema/raw/master/csl-citation.json"}</w:instrText>
      </w:r>
      <w:r w:rsidR="00C945A6">
        <w:fldChar w:fldCharType="separate"/>
      </w:r>
      <w:r w:rsidR="00C945A6" w:rsidRPr="00D7084E">
        <w:rPr>
          <w:noProof/>
        </w:rPr>
        <w:t xml:space="preserve">Chang </w:t>
      </w:r>
      <w:r w:rsidR="00C945A6" w:rsidRPr="00D7084E">
        <w:rPr>
          <w:i/>
          <w:iCs/>
          <w:noProof/>
        </w:rPr>
        <w:t>et al</w:t>
      </w:r>
      <w:r w:rsidR="00C945A6" w:rsidRPr="00D7084E">
        <w:rPr>
          <w:noProof/>
        </w:rPr>
        <w:t xml:space="preserve"> </w:t>
      </w:r>
      <w:r w:rsidR="00C945A6">
        <w:rPr>
          <w:noProof/>
        </w:rPr>
        <w:t>(</w:t>
      </w:r>
      <w:r w:rsidR="00C945A6" w:rsidRPr="00D7084E">
        <w:rPr>
          <w:noProof/>
        </w:rPr>
        <w:t>2019)</w:t>
      </w:r>
      <w:r w:rsidR="00C945A6">
        <w:fldChar w:fldCharType="end"/>
      </w:r>
      <w:r w:rsidR="00C945A6">
        <w:t xml:space="preserve"> </w:t>
      </w:r>
      <w:r w:rsidRPr="00665679">
        <w:t xml:space="preserve">which states that there is no influence of government spending on the amount of money in circulation. This happens because central banks use sterile interventions to counter the impact of government spending on the money supply. They can sell government securities to absorb excess liquidity. However, this study is not in line with the research conducted by </w:t>
      </w:r>
      <w:r w:rsidR="00C945A6">
        <w:fldChar w:fldCharType="begin" w:fldLock="1"/>
      </w:r>
      <w:r w:rsidR="00004B81">
        <w:instrText>ADDIN CSL_CITATION {"citationItems":[{"id":"ITEM-1","itemData":{"DOI":"10.20448/growth.v9i1.3931","author":[{"dropping-particle":"","family":"Onyedibe","given":"Francis Chukwudi","non-dropping-particle":"","parse-names":false,"suffix":""},{"dropping-particle":"","family":"Uzonwanne","given":"Maria Chinecherem","non-dropping-particle":"","parse-names":false,"suffix":""},{"dropping-particle":"","family":"Chidinma","given":"Mbah Catherine","non-dropping-particle":"","parse-names":false,"suffix":""}],"id":"ITEM-1","issue":"May","issued":{"date-parts":[["2022"]]},"title":"Impact of Budget Deficit Financing on Money Supply in Nigeria Impact of Budget Deficit Financing on Money Supply in Nigeria","type":"article-journal"},"uris":["http://www.mendeley.com/documents/?uuid=242cefcf-62ad-4d04-9062-d3f9681bc4d5","http://www.mendeley.com/documents/?uuid=ca0fd84b-ae8c-444f-8613-0fdbfd4daf58"]}],"mendeley":{"formattedCitation":"(Onyedibe et al., 2022)","manualFormatting":"Onyedibe et al (2022)","plainTextFormattedCitation":"(Onyedibe et al., 2022)","previouslyFormattedCitation":"(Onyedibe et al., 2022)"},"properties":{"noteIndex":0},"schema":"https://github.com/citation-style-language/schema/raw/master/csl-citation.json"}</w:instrText>
      </w:r>
      <w:r w:rsidR="00C945A6">
        <w:fldChar w:fldCharType="separate"/>
      </w:r>
      <w:r w:rsidR="00C945A6" w:rsidRPr="005721D0">
        <w:rPr>
          <w:noProof/>
        </w:rPr>
        <w:t xml:space="preserve">Onyedibe </w:t>
      </w:r>
      <w:r w:rsidR="00C945A6" w:rsidRPr="005721D0">
        <w:rPr>
          <w:i/>
          <w:iCs/>
          <w:noProof/>
        </w:rPr>
        <w:t>et al</w:t>
      </w:r>
      <w:r w:rsidR="00C945A6" w:rsidRPr="005721D0">
        <w:rPr>
          <w:noProof/>
        </w:rPr>
        <w:t xml:space="preserve"> </w:t>
      </w:r>
      <w:r w:rsidR="00C945A6">
        <w:rPr>
          <w:noProof/>
        </w:rPr>
        <w:t>(</w:t>
      </w:r>
      <w:r w:rsidR="00C945A6" w:rsidRPr="005721D0">
        <w:rPr>
          <w:noProof/>
        </w:rPr>
        <w:t>2022)</w:t>
      </w:r>
      <w:r w:rsidR="00C945A6">
        <w:fldChar w:fldCharType="end"/>
      </w:r>
      <w:r w:rsidR="00C945A6">
        <w:t xml:space="preserve"> </w:t>
      </w:r>
      <w:r w:rsidRPr="00665679">
        <w:t>which states that there is a significant influence of government spending on the money supply. This happens when government spending through the purchase of government securities increases reserves in the banking system, thereby increasing the money supply.</w:t>
      </w:r>
    </w:p>
    <w:p w14:paraId="4DD877AE" w14:textId="77777777" w:rsidR="00837B9E" w:rsidRDefault="00837B9E" w:rsidP="00665679">
      <w:pPr>
        <w:ind w:firstLine="567"/>
        <w:jc w:val="both"/>
      </w:pPr>
    </w:p>
    <w:p w14:paraId="2148AC73" w14:textId="09F0865D" w:rsidR="00CA24A6" w:rsidRDefault="00CA24A6" w:rsidP="00665679">
      <w:pPr>
        <w:jc w:val="both"/>
        <w:rPr>
          <w:b/>
          <w:bCs/>
        </w:rPr>
      </w:pPr>
      <w:r>
        <w:rPr>
          <w:b/>
          <w:bCs/>
        </w:rPr>
        <w:t xml:space="preserve">The Effect of Inflation on Money Supply </w:t>
      </w:r>
    </w:p>
    <w:p w14:paraId="72C9F4B6" w14:textId="2E1E1954" w:rsidR="00CA24A6" w:rsidRDefault="00327486" w:rsidP="0077609C">
      <w:pPr>
        <w:ind w:firstLine="567"/>
        <w:jc w:val="both"/>
        <w:rPr>
          <w:b/>
          <w:bCs/>
        </w:rPr>
      </w:pPr>
      <w:r w:rsidRPr="00327486">
        <w:t>Referring to the results of long-term estimates that obtain probability values of 0.8436 &gt; 0.05 with a coefficient value of 0.035290, it can be concluded that inflation has no significant effect on the money supply in Indonesia. Meanwhile, based on the short-term estimation results, which obtained a probability value of 0.8262 &gt; 0.05 with a coefficient value of -0.031865, it can be concluded that short-term inflation does not have a significant effect on the money supply in Indonesia. This means that in the long and short term, when inflation grows by 1%, it will not have any effect on the money supply in Indonesia. The results of this study are in line with the research conducted by</w:t>
      </w:r>
      <w:r>
        <w:t xml:space="preserve"> </w:t>
      </w:r>
      <w:r w:rsidR="00C945A6">
        <w:fldChar w:fldCharType="begin" w:fldLock="1"/>
      </w:r>
      <w:r w:rsidR="00004B81">
        <w:instrText>ADDIN CSL_CITATION {"citationItems":[{"id":"ITEM-1","itemData":{"author":[{"dropping-particle":"","family":"Lakshmanasamy","given":"T","non-dropping-particle":"","parse-names":false,"suffix":""}],"id":"ITEM-1","issue":"3","issued":{"date-parts":[["2021"]]},"page":"34-43","title":"The Causal Relationship between Money Supply , Inflation , and Industrial Production in India : Vector Error Correction Estimation","type":"article-journal","volume":"11"},"uris":["http://www.mendeley.com/documents/?uuid=6e9e9162-6f13-410f-a0cb-fdb337cff5ea","http://www.mendeley.com/documents/?uuid=72e44575-d3fe-492e-a25d-0bfee34ca3a1"]}],"mendeley":{"formattedCitation":"(Lakshmanasamy, 2021)","manualFormatting":"Lakshmanasamy (2021)","plainTextFormattedCitation":"(Lakshmanasamy, 2021)","previouslyFormattedCitation":"(Lakshmanasamy, 2021)"},"properties":{"noteIndex":0},"schema":"https://github.com/citation-style-language/schema/raw/master/csl-citation.json"}</w:instrText>
      </w:r>
      <w:r w:rsidR="00C945A6">
        <w:fldChar w:fldCharType="separate"/>
      </w:r>
      <w:r w:rsidR="00C945A6" w:rsidRPr="00C512D8">
        <w:rPr>
          <w:noProof/>
        </w:rPr>
        <w:t xml:space="preserve">Lakshmanasamy </w:t>
      </w:r>
      <w:r w:rsidR="00C945A6">
        <w:rPr>
          <w:noProof/>
        </w:rPr>
        <w:t>(</w:t>
      </w:r>
      <w:r w:rsidR="00C945A6" w:rsidRPr="00C512D8">
        <w:rPr>
          <w:noProof/>
        </w:rPr>
        <w:t>2021)</w:t>
      </w:r>
      <w:r w:rsidR="00C945A6">
        <w:fldChar w:fldCharType="end"/>
      </w:r>
      <w:r w:rsidR="00C945A6">
        <w:t xml:space="preserve"> </w:t>
      </w:r>
      <w:r w:rsidR="00CA24A6">
        <w:t xml:space="preserve">and </w:t>
      </w:r>
      <w:r w:rsidR="00C945A6">
        <w:fldChar w:fldCharType="begin" w:fldLock="1"/>
      </w:r>
      <w:r w:rsidR="00004B81">
        <w:instrText>ADDIN CSL_CITATION {"citationItems":[{"id":"ITEM-1","itemData":{"ISSN":"2227-7099","author":[{"dropping-particle":"","family":"Gharehgozli","given":"Orkideh","non-dropping-particle":"","parse-names":false,"suffix":""},{"dropping-particle":"","family":"Lee","given":"Sunhyung","non-dropping-particle":"","parse-names":false,"suffix":""}],"container-title":"Economies","id":"ITEM-1","issue":"5","issued":{"date-parts":[["2022"]]},"page":"101","publisher":"MDPI","title":"Money supply and inflation after COVID-19","type":"article-journal","volume":"10"},"uris":["http://www.mendeley.com/documents/?uuid=32b89b44-df73-4dfa-90e6-81d68466a56f","http://www.mendeley.com/documents/?uuid=eed713f0-944b-4a20-8ff8-4c692d5e4257"]}],"mendeley":{"formattedCitation":"(Gharehgozli &amp; Lee, 2022)","manualFormatting":"Gharehgozli &amp; Lee (2022)","plainTextFormattedCitation":"(Gharehgozli &amp; Lee, 2022)","previouslyFormattedCitation":"(Gharehgozli &amp; Lee, 2022)"},"properties":{"noteIndex":0},"schema":"https://github.com/citation-style-language/schema/raw/master/csl-citation.json"}</w:instrText>
      </w:r>
      <w:r w:rsidR="00C945A6">
        <w:fldChar w:fldCharType="separate"/>
      </w:r>
      <w:r w:rsidR="00C945A6" w:rsidRPr="00C512D8">
        <w:rPr>
          <w:noProof/>
        </w:rPr>
        <w:t xml:space="preserve">Gharehgozli &amp; Lee </w:t>
      </w:r>
      <w:r w:rsidR="00C945A6">
        <w:rPr>
          <w:noProof/>
        </w:rPr>
        <w:t>(</w:t>
      </w:r>
      <w:r w:rsidR="00C945A6" w:rsidRPr="00C512D8">
        <w:rPr>
          <w:noProof/>
        </w:rPr>
        <w:t>2022)</w:t>
      </w:r>
      <w:r w:rsidR="00C945A6">
        <w:fldChar w:fldCharType="end"/>
      </w:r>
      <w:r w:rsidR="00C945A6">
        <w:t xml:space="preserve"> </w:t>
      </w:r>
      <w:r w:rsidRPr="00327486">
        <w:t xml:space="preserve">which states that there is no significant influence between inflation and the money supply. This happens because the central bank regulates the money supply independently of the current inflation rate by targeting other variables such as interest rates. By enacting this policy, it will separate inflation from the money supply. However, this study is not in line with research by </w:t>
      </w:r>
      <w:r w:rsidR="00C945A6">
        <w:fldChar w:fldCharType="begin" w:fldLock="1"/>
      </w:r>
      <w:r w:rsidR="00004B81">
        <w:instrText>ADDIN CSL_CITATION {"citationItems":[{"id":"ITEM-1","itemData":{"ISBN":"0429023642","author":[{"dropping-particle":"","family":"Sieroń","given":"Arkadiusz","non-dropping-particle":"","parse-names":false,"suffix":""}],"id":"ITEM-1","issued":{"date-parts":[["2019"]]},"publisher":"Routledge","title":"Money, inflation and business cycles: The Cantillon effect and the economy","type":"book"},"uris":["http://www.mendeley.com/documents/?uuid=8b4c7080-d8e9-4a79-9b93-6ab220162957","http://www.mendeley.com/documents/?uuid=96990742-781c-49c1-a369-95cdb9d84189"]}],"mendeley":{"formattedCitation":"(Sieroń, 2019)","manualFormatting":"Sieroń (2019)","plainTextFormattedCitation":"(Sieroń, 2019)","previouslyFormattedCitation":"(Sieroń, 2019)"},"properties":{"noteIndex":0},"schema":"https://github.com/citation-style-language/schema/raw/master/csl-citation.json"}</w:instrText>
      </w:r>
      <w:r w:rsidR="00C945A6">
        <w:fldChar w:fldCharType="separate"/>
      </w:r>
      <w:r w:rsidR="00C945A6" w:rsidRPr="00725AC1">
        <w:rPr>
          <w:noProof/>
        </w:rPr>
        <w:t>Sieroń</w:t>
      </w:r>
      <w:r w:rsidR="00C945A6">
        <w:rPr>
          <w:noProof/>
        </w:rPr>
        <w:t xml:space="preserve"> (</w:t>
      </w:r>
      <w:r w:rsidR="00C945A6" w:rsidRPr="00725AC1">
        <w:rPr>
          <w:noProof/>
        </w:rPr>
        <w:t>2019)</w:t>
      </w:r>
      <w:r w:rsidR="00C945A6">
        <w:fldChar w:fldCharType="end"/>
      </w:r>
      <w:r w:rsidR="00C945A6">
        <w:t xml:space="preserve"> </w:t>
      </w:r>
      <w:r w:rsidR="00CA24A6">
        <w:t>and</w:t>
      </w:r>
      <w:r w:rsidR="00C945A6">
        <w:t xml:space="preserve"> </w:t>
      </w:r>
      <w:r w:rsidR="00C945A6">
        <w:fldChar w:fldCharType="begin" w:fldLock="1"/>
      </w:r>
      <w:r w:rsidR="00004B81">
        <w:instrText>ADDIN CSL_CITATION {"citationItems":[{"id":"ITEM-1","itemData":{"author":[{"dropping-particle":"","family":"Farlian","given":"Talbani","non-dropping-particle":"","parse-names":false,"suffix":""},{"dropping-particle":"","family":"Handayani","given":"Meutia","non-dropping-particle":"","parse-names":false,"suffix":""},{"dropping-particle":"","family":"Fitriani","given":"Niki","non-dropping-particle":"","parse-names":false,"suffix":""},{"dropping-particle":"","family":"Fachruddin","given":"Rudi","non-dropping-particle":"","parse-names":false,"suffix":""},{"dropping-particle":"","family":"Zulkifli","given":"Najib","non-dropping-particle":"","parse-names":false,"suffix":""},{"dropping-particle":"","family":"Phillipe","given":"Jean","non-dropping-particle":"","parse-names":false,"suffix":""},{"dropping-particle":"","family":"Aceh","given":"Banda","non-dropping-particle":"","parse-names":false,"suffix":""},{"dropping-particle":"","family":"Aceh","given":"Politeknik","non-dropping-particle":"","parse-names":false,"suffix":""},{"dropping-particle":"","family":"Aceh","given":"Banda","non-dropping-particle":"","parse-names":false,"suffix":""},{"dropping-particle":"","family":"Intelligent","given":"Intuitive","non-dropping-particle":"","parse-names":false,"suffix":""}],"id":"ITEM-1","issue":"December 2018","issued":{"date-parts":[["2019"]]},"page":"98-104","title":"THE EFFECT OF INFLATION AND INTEREST","type":"article-journal"},"uris":["http://www.mendeley.com/documents/?uuid=5470d19a-049d-498c-84d6-e0445944f503","http://www.mendeley.com/documents/?uuid=adc1da6c-2d6a-42b3-8ac4-b797dae92186"]}],"mendeley":{"formattedCitation":"(Farlian et al., 2019)","manualFormatting":"Farlian et al (2019)","plainTextFormattedCitation":"(Farlian et al., 2019)","previouslyFormattedCitation":"(Farlian et al., 2019)"},"properties":{"noteIndex":0},"schema":"https://github.com/citation-style-language/schema/raw/master/csl-citation.json"}</w:instrText>
      </w:r>
      <w:r w:rsidR="00C945A6">
        <w:fldChar w:fldCharType="separate"/>
      </w:r>
      <w:r w:rsidR="00C945A6" w:rsidRPr="00725AC1">
        <w:rPr>
          <w:noProof/>
        </w:rPr>
        <w:t xml:space="preserve">Farlian </w:t>
      </w:r>
      <w:r w:rsidR="00C945A6" w:rsidRPr="00725AC1">
        <w:rPr>
          <w:i/>
          <w:iCs/>
          <w:noProof/>
        </w:rPr>
        <w:t>et al</w:t>
      </w:r>
      <w:r w:rsidR="00C945A6" w:rsidRPr="00725AC1">
        <w:rPr>
          <w:noProof/>
        </w:rPr>
        <w:t xml:space="preserve"> </w:t>
      </w:r>
      <w:r w:rsidR="00C945A6">
        <w:rPr>
          <w:noProof/>
        </w:rPr>
        <w:t>(</w:t>
      </w:r>
      <w:r w:rsidR="00C945A6" w:rsidRPr="00725AC1">
        <w:rPr>
          <w:noProof/>
        </w:rPr>
        <w:t>2019)</w:t>
      </w:r>
      <w:r w:rsidR="00C945A6">
        <w:fldChar w:fldCharType="end"/>
      </w:r>
      <w:r w:rsidR="00C945A6">
        <w:t xml:space="preserve"> </w:t>
      </w:r>
      <w:r w:rsidRPr="00327486">
        <w:t>which states that inflation has a significant influence on the money supply. This happens because the central bank actively manages the money supply in response to inflation. When inflation is high, central banks often tighten the money supply to stabilize prices.</w:t>
      </w:r>
    </w:p>
    <w:p w14:paraId="618AA04B" w14:textId="48BDD976" w:rsidR="00697823" w:rsidRDefault="00697823" w:rsidP="00C945A6">
      <w:pPr>
        <w:rPr>
          <w:b/>
          <w:bCs/>
        </w:rPr>
      </w:pPr>
    </w:p>
    <w:p w14:paraId="7C69DC35" w14:textId="77777777" w:rsidR="00CA24A6" w:rsidRDefault="00CA24A6" w:rsidP="000A08F4">
      <w:pPr>
        <w:rPr>
          <w:b/>
          <w:bCs/>
        </w:rPr>
      </w:pPr>
      <w:r>
        <w:rPr>
          <w:b/>
          <w:bCs/>
        </w:rPr>
        <w:t>Effect of Interest Rate on Money Supply</w:t>
      </w:r>
    </w:p>
    <w:p w14:paraId="40A44BA2" w14:textId="0474358A" w:rsidR="00327486" w:rsidRDefault="00327486" w:rsidP="00327486">
      <w:pPr>
        <w:ind w:firstLine="567"/>
        <w:jc w:val="both"/>
      </w:pPr>
      <w:r w:rsidRPr="00327486">
        <w:t xml:space="preserve">Referring to the results of the long-term estimate that obtained a probability value of 0.0003 &lt; 0.05 with a coefficient value of -0.612800, it can be concluded that interest rates have a significant negative effect on the money supply in Indonesia. Meanwhile, from the results of short-term estimates, obtaining a probability value of 0.0000 &lt; 0.05 with a coefficient value of -0.638361, it can be concluded that short-term interest rates have a significant negative effect on the money supply in Indonesia. This means that in the long and short term, when interest rates grow by 1%, it will have an effect on decreasing the </w:t>
      </w:r>
      <w:r w:rsidRPr="00327486">
        <w:lastRenderedPageBreak/>
        <w:t>amount of money in circulation in Indonesia by -0.612800% in the long term and -0.638361% in the short term. The results of this study are in line with the research conducted by</w:t>
      </w:r>
      <w:r w:rsidR="00C945A6">
        <w:t xml:space="preserve"> </w:t>
      </w:r>
      <w:r w:rsidR="00C945A6">
        <w:fldChar w:fldCharType="begin" w:fldLock="1"/>
      </w:r>
      <w:r w:rsidR="00004B81">
        <w:instrText>ADDIN CSL_CITATION {"citationItems":[{"id":"ITEM-1","itemData":{"ISSN":"0003-6846","author":[{"dropping-particle":"","family":"Hashemzadeh","given":"Nozar","non-dropping-particle":"","parse-names":false,"suffix":""},{"dropping-particle":"","family":"Taylor","given":"Philip","non-dropping-particle":"","parse-names":false,"suffix":""}],"container-title":"Applied economics","id":"ITEM-1","issue":"12","issued":{"date-parts":[["2019"]]},"page":"1603-1611","publisher":"Taylor &amp; Francis","title":"Stock prices, money supply, and interest rates: the question of causality","type":"article-journal","volume":"20"},"uris":["http://www.mendeley.com/documents/?uuid=8dfcede1-29d8-47b2-95f1-fc22d31d7c20","http://www.mendeley.com/documents/?uuid=e2726347-053f-4496-8fc9-09577e2e9a21"]}],"mendeley":{"formattedCitation":"(Hashemzadeh &amp; Taylor, 2019)","manualFormatting":"Hashemzadeh &amp; Taylor (2019)","plainTextFormattedCitation":"(Hashemzadeh &amp; Taylor, 2019)","previouslyFormattedCitation":"(Hashemzadeh &amp; Taylor, 2019)"},"properties":{"noteIndex":0},"schema":"https://github.com/citation-style-language/schema/raw/master/csl-citation.json"}</w:instrText>
      </w:r>
      <w:r w:rsidR="00C945A6">
        <w:fldChar w:fldCharType="separate"/>
      </w:r>
      <w:r w:rsidR="00C945A6" w:rsidRPr="0053745E">
        <w:rPr>
          <w:noProof/>
        </w:rPr>
        <w:t xml:space="preserve">Hashemzadeh &amp; Taylor </w:t>
      </w:r>
      <w:r w:rsidR="00C945A6">
        <w:rPr>
          <w:noProof/>
        </w:rPr>
        <w:t>(</w:t>
      </w:r>
      <w:r w:rsidR="00C945A6" w:rsidRPr="0053745E">
        <w:rPr>
          <w:noProof/>
        </w:rPr>
        <w:t>2019)</w:t>
      </w:r>
      <w:r w:rsidR="00C945A6">
        <w:fldChar w:fldCharType="end"/>
      </w:r>
      <w:r w:rsidR="00C945A6">
        <w:t xml:space="preserve"> </w:t>
      </w:r>
      <w:r w:rsidR="00CA24A6">
        <w:t>and</w:t>
      </w:r>
      <w:r w:rsidR="00C945A6">
        <w:t xml:space="preserve"> </w:t>
      </w:r>
      <w:r w:rsidRPr="00327486">
        <w:t>which states that there is an effect of interest rates on the money supply. This can happen when high interest rates make borrowing more expensive, thereby reducing the money supply. However, the results of this study are contrary to the research conducted by</w:t>
      </w:r>
      <w:r w:rsidR="00C945A6">
        <w:t xml:space="preserve"> </w:t>
      </w:r>
      <w:r w:rsidR="00C945A6">
        <w:fldChar w:fldCharType="begin" w:fldLock="1"/>
      </w:r>
      <w:r w:rsidR="00004B81">
        <w:instrText>ADDIN CSL_CITATION {"citationItems":[{"id":"ITEM-1","itemData":{"author":[{"dropping-particle":"","family":"Laurens","given":"Bernard J","non-dropping-particle":"","parse-names":false,"suffix":""},{"dropping-particle":"","family":"Maino","given":"Rodolfo","non-dropping-particle":"","parse-names":false,"suffix":""}],"id":"ITEM-1","issued":{"date-parts":[["2019"]]},"title":"China : Strengthening Monetary Policy Implementation","type":"article-journal"},"uris":["http://www.mendeley.com/documents/?uuid=381ae926-efb0-41ce-aea1-358765277cd8","http://www.mendeley.com/documents/?uuid=28fcb8ac-cac1-4f2f-9834-d61851fa63ca"]}],"mendeley":{"formattedCitation":"(Laurens &amp; Maino, 2019)","manualFormatting":"Laurens &amp; Maino (2019)","plainTextFormattedCitation":"(Laurens &amp; Maino, 2019)","previouslyFormattedCitation":"(Laurens &amp; Maino, 2019)"},"properties":{"noteIndex":0},"schema":"https://github.com/citation-style-language/schema/raw/master/csl-citation.json"}</w:instrText>
      </w:r>
      <w:r w:rsidR="00C945A6">
        <w:fldChar w:fldCharType="separate"/>
      </w:r>
      <w:r w:rsidR="00C945A6" w:rsidRPr="00BD44A1">
        <w:rPr>
          <w:noProof/>
        </w:rPr>
        <w:t xml:space="preserve">Laurens &amp; Maino </w:t>
      </w:r>
      <w:r w:rsidR="00C945A6">
        <w:rPr>
          <w:noProof/>
        </w:rPr>
        <w:t>(</w:t>
      </w:r>
      <w:r w:rsidR="00C945A6" w:rsidRPr="00BD44A1">
        <w:rPr>
          <w:noProof/>
        </w:rPr>
        <w:t>2019)</w:t>
      </w:r>
      <w:r w:rsidR="00C945A6">
        <w:fldChar w:fldCharType="end"/>
      </w:r>
      <w:r w:rsidR="00C945A6">
        <w:t xml:space="preserve"> </w:t>
      </w:r>
      <w:r w:rsidRPr="00327486">
        <w:t>which states that there is no effect between interest rates and the amount of money in circulation. This happens because, in the liquidity trap, interest rates are very low and monetary policy becomes ineffective. People prefer to hold cash rather than invest in bonds or other securities, so changes in interest rates are not effective in changing the money supply.</w:t>
      </w:r>
    </w:p>
    <w:p w14:paraId="7936B51D" w14:textId="77777777" w:rsidR="00837B9E" w:rsidRDefault="00837B9E" w:rsidP="00327486">
      <w:pPr>
        <w:ind w:firstLine="567"/>
        <w:jc w:val="both"/>
      </w:pPr>
    </w:p>
    <w:p w14:paraId="66D555AC" w14:textId="58B20630" w:rsidR="00CA24A6" w:rsidRDefault="00CA24A6" w:rsidP="00327486">
      <w:pPr>
        <w:jc w:val="both"/>
        <w:rPr>
          <w:b/>
          <w:bCs/>
        </w:rPr>
      </w:pPr>
      <w:r w:rsidRPr="008D4A4B">
        <w:rPr>
          <w:b/>
          <w:bCs/>
          <w:i/>
          <w:iCs/>
        </w:rPr>
        <w:t>Error Correction Term</w:t>
      </w:r>
      <w:r>
        <w:rPr>
          <w:b/>
          <w:bCs/>
        </w:rPr>
        <w:t xml:space="preserve"> (ECT)</w:t>
      </w:r>
    </w:p>
    <w:p w14:paraId="26520A17" w14:textId="2D885B89" w:rsidR="00837B9E" w:rsidRDefault="00327486" w:rsidP="003453FC">
      <w:pPr>
        <w:ind w:firstLine="567"/>
        <w:jc w:val="both"/>
      </w:pPr>
      <w:r w:rsidRPr="00327486">
        <w:t>Based on the ECM test, it is known that the t-statistic on the ECT variable is 4.839760 &gt; t-table 2.068658 with a probability value of 0.0001. Therefore, it can be concluded that ECT has a significant negative influence on D (MS). In addition, the value of the ECT coefficient = -0.97 was also obtained, which meets the criteria for a negative value with the provision that the absolute value is vulnerable to 0&lt;ECT&lt;1, which means that this model can be applied in analyzing independent variables for MS. With a coefficient value of -0.974551, it also explains the condition of the speed of MS adjustment towards its equilibrium of 97.45% per quarter. This means that when the short-term balance condition moves towards the long-term balance, in the first quarter there will be a correction of 97.45%, and the remaining 2.55% will be corrected in the next quarter. The adjustment speed takes 1/0.9745 (1.02 quarters) or 3.1 months.</w:t>
      </w:r>
    </w:p>
    <w:p w14:paraId="632C66DE" w14:textId="77777777" w:rsidR="003453FC" w:rsidRPr="003453FC" w:rsidRDefault="003453FC" w:rsidP="003453FC">
      <w:pPr>
        <w:ind w:firstLine="567"/>
        <w:jc w:val="both"/>
      </w:pPr>
    </w:p>
    <w:p w14:paraId="244F3224" w14:textId="51BF1685" w:rsidR="00C945A6" w:rsidRDefault="00CA24A6" w:rsidP="00C945A6">
      <w:pPr>
        <w:jc w:val="center"/>
        <w:rPr>
          <w:b/>
          <w:bCs/>
        </w:rPr>
      </w:pPr>
      <w:r>
        <w:rPr>
          <w:b/>
          <w:bCs/>
        </w:rPr>
        <w:t>Table 11. F-Statistical Test -Long Term</w:t>
      </w:r>
    </w:p>
    <w:tbl>
      <w:tblPr>
        <w:tblW w:w="4840" w:type="dxa"/>
        <w:jc w:val="center"/>
        <w:tblLook w:val="04A0" w:firstRow="1" w:lastRow="0" w:firstColumn="1" w:lastColumn="0" w:noHBand="0" w:noVBand="1"/>
      </w:tblPr>
      <w:tblGrid>
        <w:gridCol w:w="1780"/>
        <w:gridCol w:w="1420"/>
        <w:gridCol w:w="1640"/>
      </w:tblGrid>
      <w:tr w:rsidR="00C945A6" w:rsidRPr="00070B90" w14:paraId="63591B44" w14:textId="77777777" w:rsidTr="0034260C">
        <w:trPr>
          <w:trHeight w:val="280"/>
          <w:jc w:val="center"/>
        </w:trPr>
        <w:tc>
          <w:tcPr>
            <w:tcW w:w="1780" w:type="dxa"/>
            <w:tcBorders>
              <w:top w:val="single" w:sz="4" w:space="0" w:color="auto"/>
              <w:left w:val="nil"/>
              <w:bottom w:val="single" w:sz="4" w:space="0" w:color="auto"/>
              <w:right w:val="nil"/>
            </w:tcBorders>
            <w:shd w:val="clear" w:color="auto" w:fill="auto"/>
            <w:noWrap/>
            <w:vAlign w:val="bottom"/>
            <w:hideMark/>
          </w:tcPr>
          <w:p w14:paraId="0D43555D" w14:textId="77777777" w:rsidR="00C945A6" w:rsidRPr="00070B90" w:rsidRDefault="00C945A6" w:rsidP="0034260C">
            <w:pPr>
              <w:rPr>
                <w:color w:val="000000"/>
                <w:lang w:eastAsia="en-ID"/>
              </w:rPr>
            </w:pPr>
            <w:r w:rsidRPr="00070B90">
              <w:rPr>
                <w:color w:val="000000"/>
                <w:lang w:eastAsia="en-ID"/>
              </w:rPr>
              <w:t> </w:t>
            </w:r>
          </w:p>
        </w:tc>
        <w:tc>
          <w:tcPr>
            <w:tcW w:w="1420" w:type="dxa"/>
            <w:tcBorders>
              <w:top w:val="single" w:sz="4" w:space="0" w:color="auto"/>
              <w:left w:val="nil"/>
              <w:bottom w:val="single" w:sz="4" w:space="0" w:color="auto"/>
              <w:right w:val="nil"/>
            </w:tcBorders>
            <w:shd w:val="clear" w:color="auto" w:fill="auto"/>
            <w:noWrap/>
            <w:vAlign w:val="bottom"/>
            <w:hideMark/>
          </w:tcPr>
          <w:p w14:paraId="6B2E92CB" w14:textId="77777777" w:rsidR="00C945A6" w:rsidRPr="00070B90" w:rsidRDefault="00C945A6" w:rsidP="0034260C">
            <w:pPr>
              <w:rPr>
                <w:color w:val="000000"/>
                <w:lang w:eastAsia="en-ID"/>
              </w:rPr>
            </w:pPr>
            <w:r w:rsidRPr="00070B90">
              <w:rPr>
                <w:color w:val="000000"/>
                <w:lang w:eastAsia="en-ID"/>
              </w:rPr>
              <w:t>F-statistic</w:t>
            </w:r>
          </w:p>
        </w:tc>
        <w:tc>
          <w:tcPr>
            <w:tcW w:w="1640" w:type="dxa"/>
            <w:tcBorders>
              <w:top w:val="single" w:sz="4" w:space="0" w:color="auto"/>
              <w:left w:val="nil"/>
              <w:bottom w:val="single" w:sz="4" w:space="0" w:color="auto"/>
              <w:right w:val="nil"/>
            </w:tcBorders>
            <w:shd w:val="clear" w:color="auto" w:fill="auto"/>
            <w:noWrap/>
            <w:vAlign w:val="bottom"/>
            <w:hideMark/>
          </w:tcPr>
          <w:p w14:paraId="74C276EB" w14:textId="77777777" w:rsidR="00C945A6" w:rsidRPr="00070B90" w:rsidRDefault="00C945A6" w:rsidP="0034260C">
            <w:pPr>
              <w:rPr>
                <w:color w:val="000000"/>
                <w:lang w:eastAsia="en-ID"/>
              </w:rPr>
            </w:pPr>
            <w:r w:rsidRPr="00070B90">
              <w:rPr>
                <w:color w:val="000000"/>
                <w:lang w:eastAsia="en-ID"/>
              </w:rPr>
              <w:t>Prob(F-statistic</w:t>
            </w:r>
          </w:p>
        </w:tc>
      </w:tr>
      <w:tr w:rsidR="00C945A6" w:rsidRPr="00070B90" w14:paraId="52AF10B2" w14:textId="77777777" w:rsidTr="0034260C">
        <w:trPr>
          <w:trHeight w:val="280"/>
          <w:jc w:val="center"/>
        </w:trPr>
        <w:tc>
          <w:tcPr>
            <w:tcW w:w="1780" w:type="dxa"/>
            <w:tcBorders>
              <w:top w:val="nil"/>
              <w:left w:val="nil"/>
              <w:bottom w:val="nil"/>
              <w:right w:val="nil"/>
            </w:tcBorders>
            <w:shd w:val="clear" w:color="auto" w:fill="auto"/>
            <w:noWrap/>
            <w:vAlign w:val="bottom"/>
            <w:hideMark/>
          </w:tcPr>
          <w:p w14:paraId="6C77F051" w14:textId="2F1255EF" w:rsidR="00C945A6" w:rsidRPr="00070B90" w:rsidRDefault="00CA24A6" w:rsidP="0034260C">
            <w:pPr>
              <w:rPr>
                <w:color w:val="000000"/>
                <w:lang w:eastAsia="en-ID"/>
              </w:rPr>
            </w:pPr>
            <w:r w:rsidRPr="00070B90">
              <w:rPr>
                <w:color w:val="000000"/>
                <w:lang w:eastAsia="en-ID"/>
              </w:rPr>
              <w:t>Long-term</w:t>
            </w:r>
          </w:p>
        </w:tc>
        <w:tc>
          <w:tcPr>
            <w:tcW w:w="1420" w:type="dxa"/>
            <w:tcBorders>
              <w:top w:val="nil"/>
              <w:left w:val="nil"/>
              <w:bottom w:val="nil"/>
              <w:right w:val="nil"/>
            </w:tcBorders>
            <w:shd w:val="clear" w:color="auto" w:fill="auto"/>
            <w:noWrap/>
            <w:vAlign w:val="bottom"/>
            <w:hideMark/>
          </w:tcPr>
          <w:p w14:paraId="504B53DA" w14:textId="77777777" w:rsidR="00C945A6" w:rsidRPr="00070B90" w:rsidRDefault="00C945A6" w:rsidP="0034260C">
            <w:pPr>
              <w:jc w:val="right"/>
              <w:rPr>
                <w:color w:val="000000"/>
                <w:lang w:eastAsia="en-ID"/>
              </w:rPr>
            </w:pPr>
            <w:r w:rsidRPr="00070B90">
              <w:rPr>
                <w:color w:val="000000"/>
                <w:lang w:eastAsia="en-ID"/>
              </w:rPr>
              <w:t>36,12834</w:t>
            </w:r>
          </w:p>
        </w:tc>
        <w:tc>
          <w:tcPr>
            <w:tcW w:w="1640" w:type="dxa"/>
            <w:tcBorders>
              <w:top w:val="nil"/>
              <w:left w:val="nil"/>
              <w:bottom w:val="nil"/>
              <w:right w:val="nil"/>
            </w:tcBorders>
            <w:shd w:val="clear" w:color="auto" w:fill="auto"/>
            <w:noWrap/>
            <w:vAlign w:val="bottom"/>
            <w:hideMark/>
          </w:tcPr>
          <w:p w14:paraId="74DCB8EB" w14:textId="77777777" w:rsidR="00C945A6" w:rsidRPr="00070B90" w:rsidRDefault="00C945A6" w:rsidP="0034260C">
            <w:pPr>
              <w:jc w:val="right"/>
              <w:rPr>
                <w:color w:val="000000"/>
                <w:lang w:eastAsia="en-ID"/>
              </w:rPr>
            </w:pPr>
            <w:r w:rsidRPr="00070B90">
              <w:rPr>
                <w:color w:val="000000"/>
                <w:lang w:eastAsia="en-ID"/>
              </w:rPr>
              <w:t>0,000000</w:t>
            </w:r>
          </w:p>
        </w:tc>
      </w:tr>
      <w:tr w:rsidR="00C945A6" w:rsidRPr="00070B90" w14:paraId="7E6969B9" w14:textId="77777777" w:rsidTr="0034260C">
        <w:trPr>
          <w:trHeight w:val="280"/>
          <w:jc w:val="center"/>
        </w:trPr>
        <w:tc>
          <w:tcPr>
            <w:tcW w:w="1780" w:type="dxa"/>
            <w:tcBorders>
              <w:top w:val="nil"/>
              <w:left w:val="nil"/>
              <w:bottom w:val="single" w:sz="4" w:space="0" w:color="auto"/>
              <w:right w:val="nil"/>
            </w:tcBorders>
            <w:shd w:val="clear" w:color="auto" w:fill="auto"/>
            <w:noWrap/>
            <w:vAlign w:val="bottom"/>
            <w:hideMark/>
          </w:tcPr>
          <w:p w14:paraId="21206A49" w14:textId="551E6537" w:rsidR="00C945A6" w:rsidRPr="00070B90" w:rsidRDefault="00CA24A6" w:rsidP="0034260C">
            <w:pPr>
              <w:rPr>
                <w:color w:val="000000"/>
                <w:lang w:eastAsia="en-ID"/>
              </w:rPr>
            </w:pPr>
            <w:r w:rsidRPr="00070B90">
              <w:rPr>
                <w:color w:val="000000"/>
                <w:lang w:eastAsia="en-ID"/>
              </w:rPr>
              <w:t>Short-term</w:t>
            </w:r>
          </w:p>
        </w:tc>
        <w:tc>
          <w:tcPr>
            <w:tcW w:w="1420" w:type="dxa"/>
            <w:tcBorders>
              <w:top w:val="nil"/>
              <w:left w:val="nil"/>
              <w:bottom w:val="single" w:sz="4" w:space="0" w:color="auto"/>
              <w:right w:val="nil"/>
            </w:tcBorders>
            <w:shd w:val="clear" w:color="auto" w:fill="auto"/>
            <w:noWrap/>
            <w:vAlign w:val="bottom"/>
            <w:hideMark/>
          </w:tcPr>
          <w:p w14:paraId="739A4264" w14:textId="77777777" w:rsidR="00C945A6" w:rsidRPr="00070B90" w:rsidRDefault="00C945A6" w:rsidP="0034260C">
            <w:pPr>
              <w:jc w:val="right"/>
              <w:rPr>
                <w:color w:val="000000"/>
                <w:lang w:eastAsia="en-ID"/>
              </w:rPr>
            </w:pPr>
            <w:r w:rsidRPr="00070B90">
              <w:rPr>
                <w:color w:val="000000"/>
                <w:lang w:eastAsia="en-ID"/>
              </w:rPr>
              <w:t>54,47561</w:t>
            </w:r>
          </w:p>
        </w:tc>
        <w:tc>
          <w:tcPr>
            <w:tcW w:w="1640" w:type="dxa"/>
            <w:tcBorders>
              <w:top w:val="nil"/>
              <w:left w:val="nil"/>
              <w:bottom w:val="single" w:sz="4" w:space="0" w:color="auto"/>
              <w:right w:val="nil"/>
            </w:tcBorders>
            <w:shd w:val="clear" w:color="auto" w:fill="auto"/>
            <w:noWrap/>
            <w:vAlign w:val="bottom"/>
            <w:hideMark/>
          </w:tcPr>
          <w:p w14:paraId="7FF1E84A" w14:textId="77777777" w:rsidR="00C945A6" w:rsidRPr="00070B90" w:rsidRDefault="00C945A6" w:rsidP="0034260C">
            <w:pPr>
              <w:jc w:val="right"/>
              <w:rPr>
                <w:color w:val="000000"/>
                <w:lang w:eastAsia="en-ID"/>
              </w:rPr>
            </w:pPr>
            <w:r w:rsidRPr="00070B90">
              <w:rPr>
                <w:color w:val="000000"/>
                <w:lang w:eastAsia="en-ID"/>
              </w:rPr>
              <w:t>0,000000</w:t>
            </w:r>
          </w:p>
        </w:tc>
      </w:tr>
    </w:tbl>
    <w:p w14:paraId="7D0114D0" w14:textId="77777777" w:rsidR="003453FC" w:rsidRDefault="003453FC" w:rsidP="008C6D57">
      <w:pPr>
        <w:ind w:firstLine="567"/>
        <w:jc w:val="both"/>
      </w:pPr>
    </w:p>
    <w:p w14:paraId="46EE6513" w14:textId="30B3CE60" w:rsidR="00DA3E9F" w:rsidRDefault="00327486" w:rsidP="008C6D57">
      <w:pPr>
        <w:ind w:firstLine="567"/>
        <w:jc w:val="both"/>
      </w:pPr>
      <w:r w:rsidRPr="00327486">
        <w:t xml:space="preserve">Referring to the estimation results shown in Table 11, the F-statistical values of each long-term and short-term condition, namely, 36.12834 and 54.47561, have probability values of 0.0000000 and 0.000000, respectively. </w:t>
      </w:r>
      <w:proofErr w:type="gramStart"/>
      <w:r w:rsidRPr="00327486">
        <w:t>So</w:t>
      </w:r>
      <w:proofErr w:type="gramEnd"/>
      <w:r w:rsidRPr="00327486">
        <w:t xml:space="preserve"> it can be concluded that all independent variables in this study are simultaneously able to have a significant influence on the realization of the amount of money supply in Indonesia, both in long-term and short-term conditions.</w:t>
      </w:r>
    </w:p>
    <w:p w14:paraId="6C3F0F91" w14:textId="794ED0EE" w:rsidR="00C945A6" w:rsidRPr="00485A68" w:rsidRDefault="00CA24A6" w:rsidP="00C945A6">
      <w:pPr>
        <w:jc w:val="center"/>
        <w:rPr>
          <w:b/>
          <w:bCs/>
        </w:rPr>
      </w:pPr>
      <w:r>
        <w:rPr>
          <w:b/>
          <w:bCs/>
        </w:rPr>
        <w:t xml:space="preserve">Table 12. Determination </w:t>
      </w:r>
      <w:proofErr w:type="spellStart"/>
      <w:r>
        <w:rPr>
          <w:b/>
          <w:bCs/>
        </w:rPr>
        <w:t>Coefisisn</w:t>
      </w:r>
      <w:proofErr w:type="spellEnd"/>
      <w:r>
        <w:rPr>
          <w:b/>
          <w:bCs/>
        </w:rPr>
        <w:t xml:space="preserve"> Value (R2)</w:t>
      </w:r>
    </w:p>
    <w:tbl>
      <w:tblPr>
        <w:tblStyle w:val="TableGrid"/>
        <w:tblW w:w="0" w:type="auto"/>
        <w:jc w:val="center"/>
        <w:tblLook w:val="04A0" w:firstRow="1" w:lastRow="0" w:firstColumn="1" w:lastColumn="0" w:noHBand="0" w:noVBand="1"/>
      </w:tblPr>
      <w:tblGrid>
        <w:gridCol w:w="2249"/>
        <w:gridCol w:w="2249"/>
        <w:gridCol w:w="2249"/>
      </w:tblGrid>
      <w:tr w:rsidR="00C945A6" w14:paraId="2456E19B" w14:textId="77777777" w:rsidTr="0034260C">
        <w:trPr>
          <w:trHeight w:val="270"/>
          <w:jc w:val="center"/>
        </w:trPr>
        <w:tc>
          <w:tcPr>
            <w:tcW w:w="2249" w:type="dxa"/>
          </w:tcPr>
          <w:p w14:paraId="4A450D95" w14:textId="117ACFAE" w:rsidR="00C945A6" w:rsidRDefault="00CA24A6" w:rsidP="0034260C">
            <w:pPr>
              <w:jc w:val="center"/>
              <w:rPr>
                <w:rFonts w:ascii="Times New Roman" w:hAnsi="Times New Roman" w:cs="Times New Roman"/>
                <w:b/>
                <w:bCs/>
              </w:rPr>
            </w:pPr>
            <w:r>
              <w:rPr>
                <w:b/>
                <w:bCs/>
              </w:rPr>
              <w:t>Model</w:t>
            </w:r>
          </w:p>
        </w:tc>
        <w:tc>
          <w:tcPr>
            <w:tcW w:w="2249" w:type="dxa"/>
          </w:tcPr>
          <w:p w14:paraId="5626FA26" w14:textId="77777777" w:rsidR="00C945A6" w:rsidRDefault="00C945A6" w:rsidP="0034260C">
            <w:pPr>
              <w:jc w:val="center"/>
              <w:rPr>
                <w:rFonts w:ascii="Times New Roman" w:hAnsi="Times New Roman" w:cs="Times New Roman"/>
                <w:b/>
                <w:bCs/>
              </w:rPr>
            </w:pPr>
            <w:r>
              <w:rPr>
                <w:rFonts w:ascii="Times New Roman" w:hAnsi="Times New Roman" w:cs="Times New Roman"/>
                <w:b/>
                <w:bCs/>
              </w:rPr>
              <w:t>R-square</w:t>
            </w:r>
          </w:p>
        </w:tc>
        <w:tc>
          <w:tcPr>
            <w:tcW w:w="2249" w:type="dxa"/>
          </w:tcPr>
          <w:p w14:paraId="305768A9" w14:textId="77777777" w:rsidR="00C945A6" w:rsidRDefault="00C945A6" w:rsidP="0034260C">
            <w:pPr>
              <w:jc w:val="center"/>
              <w:rPr>
                <w:rFonts w:ascii="Times New Roman" w:hAnsi="Times New Roman" w:cs="Times New Roman"/>
                <w:b/>
                <w:bCs/>
              </w:rPr>
            </w:pPr>
            <w:r>
              <w:rPr>
                <w:rFonts w:ascii="Times New Roman" w:hAnsi="Times New Roman" w:cs="Times New Roman"/>
                <w:b/>
                <w:bCs/>
              </w:rPr>
              <w:t>Adjusted R-square</w:t>
            </w:r>
          </w:p>
        </w:tc>
      </w:tr>
      <w:tr w:rsidR="00C945A6" w:rsidRPr="00485A68" w14:paraId="64E13E01" w14:textId="77777777" w:rsidTr="0034260C">
        <w:trPr>
          <w:trHeight w:val="270"/>
          <w:jc w:val="center"/>
        </w:trPr>
        <w:tc>
          <w:tcPr>
            <w:tcW w:w="2249" w:type="dxa"/>
          </w:tcPr>
          <w:p w14:paraId="3419B25A" w14:textId="2AC1F767" w:rsidR="00C945A6" w:rsidRPr="00485A68" w:rsidRDefault="00CA24A6" w:rsidP="0034260C">
            <w:pPr>
              <w:jc w:val="both"/>
              <w:rPr>
                <w:rFonts w:ascii="Times New Roman" w:hAnsi="Times New Roman" w:cs="Times New Roman"/>
              </w:rPr>
            </w:pPr>
            <w:r>
              <w:t>Long-term</w:t>
            </w:r>
          </w:p>
        </w:tc>
        <w:tc>
          <w:tcPr>
            <w:tcW w:w="2249" w:type="dxa"/>
          </w:tcPr>
          <w:p w14:paraId="58DC05A1" w14:textId="77777777" w:rsidR="00C945A6" w:rsidRPr="00485A68" w:rsidRDefault="00C945A6" w:rsidP="0034260C">
            <w:pPr>
              <w:jc w:val="both"/>
              <w:rPr>
                <w:rFonts w:ascii="Times New Roman" w:hAnsi="Times New Roman" w:cs="Times New Roman"/>
              </w:rPr>
            </w:pPr>
            <w:r>
              <w:rPr>
                <w:rFonts w:ascii="Times New Roman" w:hAnsi="Times New Roman" w:cs="Times New Roman"/>
              </w:rPr>
              <w:t>0.904075</w:t>
            </w:r>
          </w:p>
        </w:tc>
        <w:tc>
          <w:tcPr>
            <w:tcW w:w="2249" w:type="dxa"/>
          </w:tcPr>
          <w:p w14:paraId="0BD0D0A7" w14:textId="77777777" w:rsidR="00C945A6" w:rsidRPr="00485A68" w:rsidRDefault="00C945A6" w:rsidP="0034260C">
            <w:pPr>
              <w:jc w:val="both"/>
              <w:rPr>
                <w:rFonts w:ascii="Times New Roman" w:hAnsi="Times New Roman" w:cs="Times New Roman"/>
              </w:rPr>
            </w:pPr>
            <w:r>
              <w:rPr>
                <w:rFonts w:ascii="Times New Roman" w:hAnsi="Times New Roman" w:cs="Times New Roman"/>
              </w:rPr>
              <w:t>0.879051</w:t>
            </w:r>
          </w:p>
        </w:tc>
      </w:tr>
      <w:tr w:rsidR="00C945A6" w:rsidRPr="00485A68" w14:paraId="3E6E7021" w14:textId="77777777" w:rsidTr="0034260C">
        <w:trPr>
          <w:trHeight w:val="270"/>
          <w:jc w:val="center"/>
        </w:trPr>
        <w:tc>
          <w:tcPr>
            <w:tcW w:w="2249" w:type="dxa"/>
          </w:tcPr>
          <w:p w14:paraId="30149411" w14:textId="29D8D03E" w:rsidR="00C945A6" w:rsidRPr="00485A68" w:rsidRDefault="00CA24A6" w:rsidP="0034260C">
            <w:pPr>
              <w:jc w:val="both"/>
              <w:rPr>
                <w:rFonts w:ascii="Times New Roman" w:hAnsi="Times New Roman" w:cs="Times New Roman"/>
              </w:rPr>
            </w:pPr>
            <w:r>
              <w:t>Short-term</w:t>
            </w:r>
          </w:p>
        </w:tc>
        <w:tc>
          <w:tcPr>
            <w:tcW w:w="2249" w:type="dxa"/>
          </w:tcPr>
          <w:p w14:paraId="208112A4" w14:textId="77777777" w:rsidR="00C945A6" w:rsidRPr="00485A68" w:rsidRDefault="00C945A6" w:rsidP="0034260C">
            <w:pPr>
              <w:jc w:val="both"/>
              <w:rPr>
                <w:rFonts w:ascii="Times New Roman" w:hAnsi="Times New Roman" w:cs="Times New Roman"/>
              </w:rPr>
            </w:pPr>
            <w:r>
              <w:rPr>
                <w:rFonts w:ascii="Times New Roman" w:hAnsi="Times New Roman" w:cs="Times New Roman"/>
              </w:rPr>
              <w:t>0.947804</w:t>
            </w:r>
          </w:p>
        </w:tc>
        <w:tc>
          <w:tcPr>
            <w:tcW w:w="2249" w:type="dxa"/>
          </w:tcPr>
          <w:p w14:paraId="12B4D57A" w14:textId="77777777" w:rsidR="00C945A6" w:rsidRPr="00485A68" w:rsidRDefault="00C945A6" w:rsidP="0034260C">
            <w:pPr>
              <w:jc w:val="both"/>
              <w:rPr>
                <w:rFonts w:ascii="Times New Roman" w:hAnsi="Times New Roman" w:cs="Times New Roman"/>
              </w:rPr>
            </w:pPr>
            <w:r>
              <w:rPr>
                <w:rFonts w:ascii="Times New Roman" w:hAnsi="Times New Roman" w:cs="Times New Roman"/>
              </w:rPr>
              <w:t>0.930405</w:t>
            </w:r>
          </w:p>
        </w:tc>
      </w:tr>
    </w:tbl>
    <w:p w14:paraId="53C1C245" w14:textId="77777777" w:rsidR="00DA3E9F" w:rsidRDefault="00DA3E9F" w:rsidP="00510356">
      <w:pPr>
        <w:ind w:firstLine="567"/>
        <w:jc w:val="both"/>
      </w:pPr>
    </w:p>
    <w:p w14:paraId="4492E15B" w14:textId="6FE60521" w:rsidR="00327486" w:rsidRDefault="00327486" w:rsidP="00D20051">
      <w:pPr>
        <w:ind w:firstLine="567"/>
        <w:jc w:val="both"/>
      </w:pPr>
      <w:r w:rsidRPr="00327486">
        <w:t xml:space="preserve">Based on the test shown in table 12, with the R-square value and the adjusted R-square value of 0.904075 and 0.879051, respectively, this explains that the long-term model in this study can explain 90.40% of the actual MS value, with the remaining 9.6% explained by other variables that were not analyzed in this study. Meanwhile, according to </w:t>
      </w:r>
      <w:r w:rsidRPr="00327486">
        <w:lastRenderedPageBreak/>
        <w:t>the adjusted R-square criterion, this study can explain the actual value of MS up to 87.90%, with the rest of 12.1% explained by other variables that are not analyzed in this study.</w:t>
      </w:r>
    </w:p>
    <w:p w14:paraId="1F17E0F3" w14:textId="040382DD" w:rsidR="00CA24A6" w:rsidRPr="00C945A6" w:rsidRDefault="00327486" w:rsidP="00D20051">
      <w:pPr>
        <w:ind w:firstLine="567"/>
        <w:jc w:val="both"/>
      </w:pPr>
      <w:r w:rsidRPr="00327486">
        <w:t>While in the short-term condition, it has an R-square value and an adjusted R-square value of 0.947804 and 0.930405, respectively. This explains that the short-term model in this study can explain 94.78% of the actual MS value, while the rest of 5.22% is explained by other variables that are not analyzed in this study. Meanwhile, according to the adjusted R-square criterion, this study can explain the actual value of MS up to 93.04%, with the rest of 6.96% explained by other variables that are not analyzed in this study.</w:t>
      </w:r>
    </w:p>
    <w:p w14:paraId="185EA1BA" w14:textId="0FB179FC" w:rsidR="0066512A" w:rsidRPr="007D3889" w:rsidRDefault="0066512A" w:rsidP="007D3889">
      <w:pPr>
        <w:autoSpaceDE w:val="0"/>
        <w:autoSpaceDN w:val="0"/>
        <w:adjustRightInd w:val="0"/>
        <w:ind w:right="-7"/>
        <w:jc w:val="both"/>
        <w:rPr>
          <w:b/>
          <w:bCs/>
          <w:color w:val="000000"/>
          <w:lang w:val="it-IT"/>
        </w:rPr>
        <w:sectPr w:rsidR="0066512A" w:rsidRPr="007D3889" w:rsidSect="00A47EB2">
          <w:footerReference w:type="even" r:id="rId14"/>
          <w:footerReference w:type="default" r:id="rId15"/>
          <w:type w:val="continuous"/>
          <w:pgSz w:w="12240" w:h="15840"/>
          <w:pgMar w:top="1440" w:right="1800" w:bottom="1440" w:left="1800" w:header="720" w:footer="720" w:gutter="0"/>
          <w:cols w:space="720"/>
          <w:noEndnote/>
        </w:sectPr>
      </w:pPr>
    </w:p>
    <w:p w14:paraId="58202A68" w14:textId="77777777" w:rsidR="00510356" w:rsidRDefault="00510356" w:rsidP="0066512A">
      <w:pPr>
        <w:autoSpaceDE w:val="0"/>
        <w:autoSpaceDN w:val="0"/>
        <w:adjustRightInd w:val="0"/>
        <w:ind w:right="-7"/>
        <w:jc w:val="both"/>
        <w:rPr>
          <w:b/>
          <w:bCs/>
          <w:lang w:val="fi-FI"/>
        </w:rPr>
      </w:pPr>
    </w:p>
    <w:p w14:paraId="6542E24C" w14:textId="77777777" w:rsidR="00CA24A6" w:rsidRDefault="00CA24A6" w:rsidP="0011502B">
      <w:pPr>
        <w:autoSpaceDE w:val="0"/>
        <w:autoSpaceDN w:val="0"/>
        <w:adjustRightInd w:val="0"/>
        <w:ind w:right="-7"/>
        <w:jc w:val="both"/>
        <w:rPr>
          <w:b/>
          <w:bCs/>
          <w:lang w:val="fi-FI"/>
        </w:rPr>
      </w:pPr>
      <w:r w:rsidRPr="00A47EB2">
        <w:rPr>
          <w:b/>
          <w:bCs/>
        </w:rPr>
        <w:t>CONCLUSIONS AND SUGGESTIONS</w:t>
      </w:r>
    </w:p>
    <w:p w14:paraId="09E2E25C" w14:textId="77777777" w:rsidR="00327486" w:rsidRDefault="00327486" w:rsidP="00087928">
      <w:pPr>
        <w:autoSpaceDE w:val="0"/>
        <w:autoSpaceDN w:val="0"/>
        <w:adjustRightInd w:val="0"/>
        <w:ind w:right="-7" w:firstLine="567"/>
        <w:jc w:val="both"/>
      </w:pPr>
      <w:r w:rsidRPr="00327486">
        <w:t>Based on the results of the test with a long-term model, it was obtained that the exchange rate, GDP, and interest rates had a significant negative influence on the money supply, FDI had a significant positive effect on the money supply, and there was no significant effect between inflation and the money supply. Based on the results of the short-term model test, with the ECM model, it was concluded that the exchange rate, FDI, government expenditure, and inflation did not have a significant impact on the money supply. Meanwhile, GDP and interest rates have a significant negative influence on the money supply.</w:t>
      </w:r>
    </w:p>
    <w:p w14:paraId="57F77FD9" w14:textId="5308D31A" w:rsidR="008C6D57" w:rsidRDefault="00327486" w:rsidP="00C945A6">
      <w:pPr>
        <w:autoSpaceDE w:val="0"/>
        <w:autoSpaceDN w:val="0"/>
        <w:adjustRightInd w:val="0"/>
        <w:ind w:right="-7" w:firstLine="720"/>
        <w:jc w:val="both"/>
      </w:pPr>
      <w:r w:rsidRPr="00327486">
        <w:t>The results of this study show that the long-term and short-term prediction abilities of 87.90% and 93.04% are seen from the results of the estimated value of the adjusted R-square, which explains that there are several factors that can be used to research its influence on the money supply. For the next researcher, you can use other variables in the next estimate, such as financial liberalization, currency ratio, domestic investment, exports, and other variables, as independent variables. To find out the weaknesses and advantages of Indonesia's money supply management policy, researchers can expand their research subjects by comparing Asian countries, G20 members, or other countries. Every country needs the best strategy to be able to reach the best point in the money supply, such as improving monetary policy tools, fiscal policy coordination, exchange rate policy, inflation targeting, exchange rate policy, macroprudential regulation, communication, and transparency. Because the condition of the money supply of a country has a long-term and short-term impact on its economic aspects. Be it inflationary conditions, interest rates, economic growth, employment, or economic stability in detail</w:t>
      </w:r>
      <w:r w:rsidR="00837B9E">
        <w:t>.</w:t>
      </w:r>
    </w:p>
    <w:p w14:paraId="78F9E6FF" w14:textId="77777777" w:rsidR="00837B9E" w:rsidRPr="002D2825" w:rsidRDefault="00837B9E" w:rsidP="00C945A6">
      <w:pPr>
        <w:autoSpaceDE w:val="0"/>
        <w:autoSpaceDN w:val="0"/>
        <w:adjustRightInd w:val="0"/>
        <w:ind w:right="-7" w:firstLine="720"/>
        <w:jc w:val="both"/>
        <w:rPr>
          <w:b/>
          <w:bCs/>
          <w:lang w:val="fi-FI"/>
        </w:rPr>
      </w:pPr>
    </w:p>
    <w:p w14:paraId="76201D75" w14:textId="77777777" w:rsidR="00CA24A6" w:rsidRDefault="00CA24A6" w:rsidP="00CF039A">
      <w:pPr>
        <w:autoSpaceDE w:val="0"/>
        <w:autoSpaceDN w:val="0"/>
        <w:adjustRightInd w:val="0"/>
        <w:ind w:right="-7"/>
        <w:jc w:val="both"/>
        <w:rPr>
          <w:b/>
          <w:bCs/>
          <w:lang w:val="fi-FI"/>
        </w:rPr>
      </w:pPr>
      <w:r w:rsidRPr="00A47EB2">
        <w:rPr>
          <w:b/>
          <w:bCs/>
        </w:rPr>
        <w:t xml:space="preserve">BIBLIOGRAPHY </w:t>
      </w:r>
    </w:p>
    <w:p w14:paraId="035EEDA9" w14:textId="423472A3" w:rsidR="0091693F" w:rsidRPr="0091693F" w:rsidRDefault="00E87A26" w:rsidP="00327486">
      <w:pPr>
        <w:widowControl w:val="0"/>
        <w:autoSpaceDE w:val="0"/>
        <w:autoSpaceDN w:val="0"/>
        <w:adjustRightInd w:val="0"/>
        <w:ind w:left="480" w:hanging="480"/>
        <w:jc w:val="both"/>
        <w:rPr>
          <w:noProof/>
        </w:rPr>
      </w:pPr>
      <w:r>
        <w:rPr>
          <w:b/>
          <w:bCs/>
          <w:lang w:val="fi-FI"/>
        </w:rPr>
        <w:fldChar w:fldCharType="begin" w:fldLock="1"/>
      </w:r>
      <w:r>
        <w:rPr>
          <w:b/>
          <w:bCs/>
          <w:lang w:val="fi-FI"/>
        </w:rPr>
        <w:instrText xml:space="preserve">ADDIN Mendeley Bibliography CSL_BIBLIOGRAPHY </w:instrText>
      </w:r>
      <w:r>
        <w:rPr>
          <w:b/>
          <w:bCs/>
          <w:lang w:val="fi-FI"/>
        </w:rPr>
        <w:fldChar w:fldCharType="separate"/>
      </w:r>
      <w:r w:rsidR="0091693F" w:rsidRPr="0091693F">
        <w:rPr>
          <w:noProof/>
        </w:rPr>
        <w:t xml:space="preserve">Akinbobola, T. O. (2020). The dynamics of money supply, exchange rate and inflation in Nigeria. </w:t>
      </w:r>
      <w:r w:rsidR="0091693F" w:rsidRPr="0091693F">
        <w:rPr>
          <w:i/>
          <w:iCs/>
          <w:noProof/>
        </w:rPr>
        <w:t>Journal of Applied Finance &amp; Banking</w:t>
      </w:r>
      <w:r w:rsidR="0091693F" w:rsidRPr="0091693F">
        <w:rPr>
          <w:noProof/>
        </w:rPr>
        <w:t xml:space="preserve">, </w:t>
      </w:r>
      <w:r w:rsidR="0091693F" w:rsidRPr="0091693F">
        <w:rPr>
          <w:i/>
          <w:iCs/>
          <w:noProof/>
        </w:rPr>
        <w:t>2</w:t>
      </w:r>
      <w:r w:rsidR="0091693F" w:rsidRPr="0091693F">
        <w:rPr>
          <w:noProof/>
        </w:rPr>
        <w:t>(4), 1792–6599.</w:t>
      </w:r>
    </w:p>
    <w:p w14:paraId="6BD01C6C" w14:textId="77777777" w:rsidR="0091693F" w:rsidRPr="0091693F" w:rsidRDefault="0091693F" w:rsidP="00327486">
      <w:pPr>
        <w:widowControl w:val="0"/>
        <w:autoSpaceDE w:val="0"/>
        <w:autoSpaceDN w:val="0"/>
        <w:adjustRightInd w:val="0"/>
        <w:ind w:left="480" w:hanging="480"/>
        <w:jc w:val="both"/>
        <w:rPr>
          <w:noProof/>
        </w:rPr>
      </w:pPr>
      <w:r w:rsidRPr="0091693F">
        <w:rPr>
          <w:noProof/>
        </w:rPr>
        <w:t xml:space="preserve">Al Hafizh, A. (2022). Analisis Pengaruh Inflasi, Suku Bunga (Sb) Dan Investasi Terhadap Jumlah Uang Beredar (Jub) Di Indonesia Tahun 1991 - 2022. </w:t>
      </w:r>
      <w:r w:rsidRPr="0091693F">
        <w:rPr>
          <w:i/>
          <w:iCs/>
          <w:noProof/>
        </w:rPr>
        <w:t>Profit: Jurnal Manajemen, Bisnis Dan Akuntansi</w:t>
      </w:r>
      <w:r w:rsidRPr="0091693F">
        <w:rPr>
          <w:noProof/>
        </w:rPr>
        <w:t xml:space="preserve">, </w:t>
      </w:r>
      <w:r w:rsidRPr="0091693F">
        <w:rPr>
          <w:i/>
          <w:iCs/>
          <w:noProof/>
        </w:rPr>
        <w:t>1</w:t>
      </w:r>
      <w:r w:rsidRPr="0091693F">
        <w:rPr>
          <w:noProof/>
        </w:rPr>
        <w:t>(3), 63–73. https://doi.org/10.58192/profit.v1i3.324</w:t>
      </w:r>
    </w:p>
    <w:p w14:paraId="29DF45A2" w14:textId="77777777" w:rsidR="0091693F" w:rsidRPr="0091693F" w:rsidRDefault="0091693F" w:rsidP="00327486">
      <w:pPr>
        <w:widowControl w:val="0"/>
        <w:autoSpaceDE w:val="0"/>
        <w:autoSpaceDN w:val="0"/>
        <w:adjustRightInd w:val="0"/>
        <w:ind w:left="480" w:hanging="480"/>
        <w:jc w:val="both"/>
        <w:rPr>
          <w:noProof/>
        </w:rPr>
      </w:pPr>
      <w:r w:rsidRPr="0091693F">
        <w:rPr>
          <w:noProof/>
        </w:rPr>
        <w:t xml:space="preserve">Amaliyah, F., &amp; Aryanto, A. (2022). Pengaruh Jumlah Uang Beredar dan Suku Bunga Terhadap Inflasi di Indonesia. </w:t>
      </w:r>
      <w:r w:rsidRPr="0091693F">
        <w:rPr>
          <w:i/>
          <w:iCs/>
          <w:noProof/>
        </w:rPr>
        <w:t>Owner</w:t>
      </w:r>
      <w:r w:rsidRPr="0091693F">
        <w:rPr>
          <w:noProof/>
        </w:rPr>
        <w:t xml:space="preserve">, </w:t>
      </w:r>
      <w:r w:rsidRPr="0091693F">
        <w:rPr>
          <w:i/>
          <w:iCs/>
          <w:noProof/>
        </w:rPr>
        <w:t>6</w:t>
      </w:r>
      <w:r w:rsidRPr="0091693F">
        <w:rPr>
          <w:noProof/>
        </w:rPr>
        <w:t>(2), 1342–1349. https://doi.org/10.33395/owner.v6i2.737</w:t>
      </w:r>
    </w:p>
    <w:p w14:paraId="757F2EFD" w14:textId="77777777" w:rsidR="0091693F" w:rsidRPr="0091693F" w:rsidRDefault="0091693F" w:rsidP="00327486">
      <w:pPr>
        <w:widowControl w:val="0"/>
        <w:autoSpaceDE w:val="0"/>
        <w:autoSpaceDN w:val="0"/>
        <w:adjustRightInd w:val="0"/>
        <w:ind w:left="480" w:hanging="480"/>
        <w:jc w:val="both"/>
        <w:rPr>
          <w:noProof/>
        </w:rPr>
      </w:pPr>
      <w:r w:rsidRPr="0091693F">
        <w:rPr>
          <w:noProof/>
        </w:rPr>
        <w:t xml:space="preserve">Anggraini, D., &amp; Rahayu, D. (2022). Jumlah Uang Beredar di Indonesia (Periode 2011-2019). </w:t>
      </w:r>
      <w:r w:rsidRPr="0091693F">
        <w:rPr>
          <w:i/>
          <w:iCs/>
          <w:noProof/>
        </w:rPr>
        <w:t>JIEP</w:t>
      </w:r>
      <w:r w:rsidRPr="0091693F">
        <w:rPr>
          <w:noProof/>
        </w:rPr>
        <w:t xml:space="preserve">, </w:t>
      </w:r>
      <w:r w:rsidRPr="0091693F">
        <w:rPr>
          <w:i/>
          <w:iCs/>
          <w:noProof/>
        </w:rPr>
        <w:t>5</w:t>
      </w:r>
      <w:r w:rsidRPr="0091693F">
        <w:rPr>
          <w:noProof/>
        </w:rPr>
        <w:t>.</w:t>
      </w:r>
    </w:p>
    <w:p w14:paraId="2B3AA9A1" w14:textId="77777777" w:rsidR="0091693F" w:rsidRPr="0091693F" w:rsidRDefault="0091693F" w:rsidP="00327486">
      <w:pPr>
        <w:widowControl w:val="0"/>
        <w:autoSpaceDE w:val="0"/>
        <w:autoSpaceDN w:val="0"/>
        <w:adjustRightInd w:val="0"/>
        <w:ind w:left="480" w:hanging="480"/>
        <w:jc w:val="both"/>
        <w:rPr>
          <w:noProof/>
        </w:rPr>
      </w:pPr>
      <w:r w:rsidRPr="0091693F">
        <w:rPr>
          <w:noProof/>
        </w:rPr>
        <w:t xml:space="preserve">Apryansyah, R., &amp; Amaliah, I. (2023). Pengaruh Jumlah Uang Beredar dan Pengeluaran </w:t>
      </w:r>
      <w:r w:rsidRPr="0091693F">
        <w:rPr>
          <w:noProof/>
        </w:rPr>
        <w:lastRenderedPageBreak/>
        <w:t xml:space="preserve">Pemerintah Terhadap Tingkat Inflasi di Indonesia Periode Tahun 1990-2021. </w:t>
      </w:r>
      <w:r w:rsidRPr="0091693F">
        <w:rPr>
          <w:i/>
          <w:iCs/>
          <w:noProof/>
        </w:rPr>
        <w:t>Bandung Conference Series: Economics Studies</w:t>
      </w:r>
      <w:r w:rsidRPr="0091693F">
        <w:rPr>
          <w:noProof/>
        </w:rPr>
        <w:t xml:space="preserve">, </w:t>
      </w:r>
      <w:r w:rsidRPr="0091693F">
        <w:rPr>
          <w:i/>
          <w:iCs/>
          <w:noProof/>
        </w:rPr>
        <w:t>3</w:t>
      </w:r>
      <w:r w:rsidRPr="0091693F">
        <w:rPr>
          <w:noProof/>
        </w:rPr>
        <w:t>(1), 71–78. https://doi.org/10.29313/bcses.v3i1.5974</w:t>
      </w:r>
    </w:p>
    <w:p w14:paraId="048A59F0" w14:textId="77777777" w:rsidR="0091693F" w:rsidRPr="0091693F" w:rsidRDefault="0091693F" w:rsidP="00327486">
      <w:pPr>
        <w:widowControl w:val="0"/>
        <w:autoSpaceDE w:val="0"/>
        <w:autoSpaceDN w:val="0"/>
        <w:adjustRightInd w:val="0"/>
        <w:ind w:left="480" w:hanging="480"/>
        <w:jc w:val="both"/>
        <w:rPr>
          <w:noProof/>
        </w:rPr>
      </w:pPr>
      <w:r w:rsidRPr="0091693F">
        <w:rPr>
          <w:noProof/>
        </w:rPr>
        <w:t xml:space="preserve">Bairam, E. (1991). Government expenditure, money supply and unemployment in the USA: An analysis of the pre-war and post-war functional forms. </w:t>
      </w:r>
      <w:r w:rsidRPr="0091693F">
        <w:rPr>
          <w:i/>
          <w:iCs/>
          <w:noProof/>
        </w:rPr>
        <w:t>Applied Economics</w:t>
      </w:r>
      <w:r w:rsidRPr="0091693F">
        <w:rPr>
          <w:noProof/>
        </w:rPr>
        <w:t xml:space="preserve">, </w:t>
      </w:r>
      <w:r w:rsidRPr="0091693F">
        <w:rPr>
          <w:i/>
          <w:iCs/>
          <w:noProof/>
        </w:rPr>
        <w:t>23</w:t>
      </w:r>
      <w:r w:rsidRPr="0091693F">
        <w:rPr>
          <w:noProof/>
        </w:rPr>
        <w:t>(9), 1483–1486. https://doi.org/10.1080/00036849100000199</w:t>
      </w:r>
    </w:p>
    <w:p w14:paraId="4AA8F480" w14:textId="77777777" w:rsidR="0091693F" w:rsidRPr="0091693F" w:rsidRDefault="0091693F" w:rsidP="00327486">
      <w:pPr>
        <w:widowControl w:val="0"/>
        <w:autoSpaceDE w:val="0"/>
        <w:autoSpaceDN w:val="0"/>
        <w:adjustRightInd w:val="0"/>
        <w:ind w:left="480" w:hanging="480"/>
        <w:jc w:val="both"/>
        <w:rPr>
          <w:noProof/>
        </w:rPr>
      </w:pPr>
      <w:r w:rsidRPr="0091693F">
        <w:rPr>
          <w:noProof/>
        </w:rPr>
        <w:t xml:space="preserve">Bank Indonesia. (2024). </w:t>
      </w:r>
      <w:r w:rsidRPr="0091693F">
        <w:rPr>
          <w:i/>
          <w:iCs/>
          <w:noProof/>
        </w:rPr>
        <w:t>Uang Beredar Tumbuh Lebih Tinggi pada Januari 2024</w:t>
      </w:r>
      <w:r w:rsidRPr="0091693F">
        <w:rPr>
          <w:noProof/>
        </w:rPr>
        <w:t>. https://www.bi.go.id/id/publikasi/ruang-media/news-release/Pages/sp_263524.aspx</w:t>
      </w:r>
    </w:p>
    <w:p w14:paraId="4EB8A1B3" w14:textId="77777777" w:rsidR="0091693F" w:rsidRPr="0091693F" w:rsidRDefault="0091693F" w:rsidP="00327486">
      <w:pPr>
        <w:widowControl w:val="0"/>
        <w:autoSpaceDE w:val="0"/>
        <w:autoSpaceDN w:val="0"/>
        <w:adjustRightInd w:val="0"/>
        <w:ind w:left="480" w:hanging="480"/>
        <w:jc w:val="both"/>
        <w:rPr>
          <w:noProof/>
        </w:rPr>
      </w:pPr>
      <w:r w:rsidRPr="0091693F">
        <w:rPr>
          <w:noProof/>
        </w:rPr>
        <w:t xml:space="preserve">Boediono. (1998). </w:t>
      </w:r>
      <w:r w:rsidRPr="0091693F">
        <w:rPr>
          <w:i/>
          <w:iCs/>
          <w:noProof/>
        </w:rPr>
        <w:t>Ekonomi Moneter</w:t>
      </w:r>
      <w:r w:rsidRPr="0091693F">
        <w:rPr>
          <w:noProof/>
        </w:rPr>
        <w:t>. BPFE.</w:t>
      </w:r>
    </w:p>
    <w:p w14:paraId="1C2029A5" w14:textId="77777777" w:rsidR="0091693F" w:rsidRPr="0091693F" w:rsidRDefault="0091693F" w:rsidP="00327486">
      <w:pPr>
        <w:widowControl w:val="0"/>
        <w:autoSpaceDE w:val="0"/>
        <w:autoSpaceDN w:val="0"/>
        <w:adjustRightInd w:val="0"/>
        <w:ind w:left="480" w:hanging="480"/>
        <w:jc w:val="both"/>
        <w:rPr>
          <w:noProof/>
        </w:rPr>
      </w:pPr>
      <w:r w:rsidRPr="0091693F">
        <w:rPr>
          <w:noProof/>
        </w:rPr>
        <w:t xml:space="preserve">Chang, C., Liu, Z., Spiegel, M. M., &amp; Zhang, J. (2019). Reserve requirements and optimal Chinese stabilization policy. </w:t>
      </w:r>
      <w:r w:rsidRPr="0091693F">
        <w:rPr>
          <w:i/>
          <w:iCs/>
          <w:noProof/>
        </w:rPr>
        <w:t>Journal of Monetary Economics</w:t>
      </w:r>
      <w:r w:rsidRPr="0091693F">
        <w:rPr>
          <w:noProof/>
        </w:rPr>
        <w:t xml:space="preserve">, </w:t>
      </w:r>
      <w:r w:rsidRPr="0091693F">
        <w:rPr>
          <w:i/>
          <w:iCs/>
          <w:noProof/>
        </w:rPr>
        <w:t>103</w:t>
      </w:r>
      <w:r w:rsidRPr="0091693F">
        <w:rPr>
          <w:noProof/>
        </w:rPr>
        <w:t>, 33–51.</w:t>
      </w:r>
    </w:p>
    <w:p w14:paraId="18EA5BB6" w14:textId="77777777" w:rsidR="0091693F" w:rsidRPr="0091693F" w:rsidRDefault="0091693F" w:rsidP="00327486">
      <w:pPr>
        <w:widowControl w:val="0"/>
        <w:autoSpaceDE w:val="0"/>
        <w:autoSpaceDN w:val="0"/>
        <w:adjustRightInd w:val="0"/>
        <w:ind w:left="480" w:hanging="480"/>
        <w:jc w:val="both"/>
        <w:rPr>
          <w:noProof/>
        </w:rPr>
      </w:pPr>
      <w:r w:rsidRPr="0091693F">
        <w:rPr>
          <w:noProof/>
        </w:rPr>
        <w:t xml:space="preserve">Chona, J. M. (1976). An Analysis Money Multiplier and of Money Supply in India. </w:t>
      </w:r>
      <w:r w:rsidRPr="0091693F">
        <w:rPr>
          <w:i/>
          <w:iCs/>
          <w:noProof/>
        </w:rPr>
        <w:t>Economic and Political Weekly</w:t>
      </w:r>
      <w:r w:rsidRPr="0091693F">
        <w:rPr>
          <w:noProof/>
        </w:rPr>
        <w:t xml:space="preserve">, </w:t>
      </w:r>
      <w:r w:rsidRPr="0091693F">
        <w:rPr>
          <w:i/>
          <w:iCs/>
          <w:noProof/>
        </w:rPr>
        <w:t>11</w:t>
      </w:r>
      <w:r w:rsidRPr="0091693F">
        <w:rPr>
          <w:noProof/>
        </w:rPr>
        <w:t>(18), 668–676.</w:t>
      </w:r>
    </w:p>
    <w:p w14:paraId="71CD1481" w14:textId="77777777" w:rsidR="0091693F" w:rsidRPr="0091693F" w:rsidRDefault="0091693F" w:rsidP="00327486">
      <w:pPr>
        <w:widowControl w:val="0"/>
        <w:autoSpaceDE w:val="0"/>
        <w:autoSpaceDN w:val="0"/>
        <w:adjustRightInd w:val="0"/>
        <w:ind w:left="480" w:hanging="480"/>
        <w:jc w:val="both"/>
        <w:rPr>
          <w:noProof/>
        </w:rPr>
      </w:pPr>
      <w:r w:rsidRPr="0091693F">
        <w:rPr>
          <w:noProof/>
        </w:rPr>
        <w:t xml:space="preserve">Cottrell, A. (1997). Money endogeneity and the quantity theory: The case of commodity money. </w:t>
      </w:r>
      <w:r w:rsidRPr="0091693F">
        <w:rPr>
          <w:i/>
          <w:iCs/>
          <w:noProof/>
        </w:rPr>
        <w:t>Advances in Endogenous Money Analysis</w:t>
      </w:r>
      <w:r w:rsidRPr="0091693F">
        <w:rPr>
          <w:noProof/>
        </w:rPr>
        <w:t xml:space="preserve">, </w:t>
      </w:r>
      <w:r w:rsidRPr="0091693F">
        <w:rPr>
          <w:i/>
          <w:iCs/>
          <w:noProof/>
        </w:rPr>
        <w:t>June</w:t>
      </w:r>
      <w:r w:rsidRPr="0091693F">
        <w:rPr>
          <w:noProof/>
        </w:rPr>
        <w:t>, 173–187. https://doi.org/10.4337/9781783472246.00017</w:t>
      </w:r>
    </w:p>
    <w:p w14:paraId="63988C53" w14:textId="77777777" w:rsidR="0091693F" w:rsidRPr="0091693F" w:rsidRDefault="0091693F" w:rsidP="00327486">
      <w:pPr>
        <w:widowControl w:val="0"/>
        <w:autoSpaceDE w:val="0"/>
        <w:autoSpaceDN w:val="0"/>
        <w:adjustRightInd w:val="0"/>
        <w:ind w:left="480" w:hanging="480"/>
        <w:jc w:val="both"/>
        <w:rPr>
          <w:noProof/>
        </w:rPr>
      </w:pPr>
      <w:r w:rsidRPr="0091693F">
        <w:rPr>
          <w:noProof/>
        </w:rPr>
        <w:t xml:space="preserve">Farlian, T., Handayani, M., Fitriani, N., Fachruddin, R., Zulkifli, N., Phillipe, J., Aceh, B., Aceh, P., Aceh, B., &amp; Intelligent, I. (2019). </w:t>
      </w:r>
      <w:r w:rsidRPr="0091693F">
        <w:rPr>
          <w:i/>
          <w:iCs/>
          <w:noProof/>
        </w:rPr>
        <w:t>THE EFFECT OF INFLATION AND INTEREST</w:t>
      </w:r>
      <w:r w:rsidRPr="0091693F">
        <w:rPr>
          <w:noProof/>
        </w:rPr>
        <w:t xml:space="preserve">. </w:t>
      </w:r>
      <w:r w:rsidRPr="0091693F">
        <w:rPr>
          <w:i/>
          <w:iCs/>
          <w:noProof/>
        </w:rPr>
        <w:t>December 2018</w:t>
      </w:r>
      <w:r w:rsidRPr="0091693F">
        <w:rPr>
          <w:noProof/>
        </w:rPr>
        <w:t>, 98–104.</w:t>
      </w:r>
    </w:p>
    <w:p w14:paraId="6E4C48E8" w14:textId="77777777" w:rsidR="0091693F" w:rsidRPr="0091693F" w:rsidRDefault="0091693F" w:rsidP="00327486">
      <w:pPr>
        <w:widowControl w:val="0"/>
        <w:autoSpaceDE w:val="0"/>
        <w:autoSpaceDN w:val="0"/>
        <w:adjustRightInd w:val="0"/>
        <w:ind w:left="480" w:hanging="480"/>
        <w:jc w:val="both"/>
        <w:rPr>
          <w:noProof/>
        </w:rPr>
      </w:pPr>
      <w:r w:rsidRPr="0091693F">
        <w:rPr>
          <w:noProof/>
        </w:rPr>
        <w:t xml:space="preserve">Fatmawati, M. N. R., &amp; Yuliana, I. (2019). Pengaruh Transaksi Non Tunai Terhadap Jumlah Uang Beredar Di Indonesia Tahun 2015- 2018 Dengan Inflasi Sebagai Variabel Moderasi. </w:t>
      </w:r>
      <w:r w:rsidRPr="0091693F">
        <w:rPr>
          <w:i/>
          <w:iCs/>
          <w:noProof/>
        </w:rPr>
        <w:t>Ekspansi: Jurnal Ekonomi, Keuangan, Perbankan Dan Akuntansi</w:t>
      </w:r>
      <w:r w:rsidRPr="0091693F">
        <w:rPr>
          <w:noProof/>
        </w:rPr>
        <w:t xml:space="preserve">, </w:t>
      </w:r>
      <w:r w:rsidRPr="0091693F">
        <w:rPr>
          <w:i/>
          <w:iCs/>
          <w:noProof/>
        </w:rPr>
        <w:t>11</w:t>
      </w:r>
      <w:r w:rsidRPr="0091693F">
        <w:rPr>
          <w:noProof/>
        </w:rPr>
        <w:t>(2), 269–283. https://doi.org/10.35313/ekspansi.v11i2.1608</w:t>
      </w:r>
    </w:p>
    <w:p w14:paraId="7F95D6AD" w14:textId="77777777" w:rsidR="0091693F" w:rsidRPr="0091693F" w:rsidRDefault="0091693F" w:rsidP="00327486">
      <w:pPr>
        <w:widowControl w:val="0"/>
        <w:autoSpaceDE w:val="0"/>
        <w:autoSpaceDN w:val="0"/>
        <w:adjustRightInd w:val="0"/>
        <w:ind w:left="480" w:hanging="480"/>
        <w:jc w:val="both"/>
        <w:rPr>
          <w:noProof/>
        </w:rPr>
      </w:pPr>
      <w:r w:rsidRPr="0091693F">
        <w:rPr>
          <w:noProof/>
        </w:rPr>
        <w:t xml:space="preserve">Friedman, M., &amp; Schwartz, A. J. (1963). </w:t>
      </w:r>
      <w:r w:rsidRPr="0091693F">
        <w:rPr>
          <w:i/>
          <w:iCs/>
          <w:noProof/>
        </w:rPr>
        <w:t>A Monetary History of the United States, 1867-1960</w:t>
      </w:r>
      <w:r w:rsidRPr="0091693F">
        <w:rPr>
          <w:noProof/>
        </w:rPr>
        <w:t>. NBER Books. https://press.princeton.edu/books/paperback/9780691003542/a-monetary-history-of-the-united-states-1867-1960</w:t>
      </w:r>
    </w:p>
    <w:p w14:paraId="3259A85B" w14:textId="77777777" w:rsidR="0091693F" w:rsidRPr="0091693F" w:rsidRDefault="0091693F" w:rsidP="00327486">
      <w:pPr>
        <w:widowControl w:val="0"/>
        <w:autoSpaceDE w:val="0"/>
        <w:autoSpaceDN w:val="0"/>
        <w:adjustRightInd w:val="0"/>
        <w:ind w:left="480" w:hanging="480"/>
        <w:jc w:val="both"/>
        <w:rPr>
          <w:noProof/>
        </w:rPr>
      </w:pPr>
      <w:r w:rsidRPr="0091693F">
        <w:rPr>
          <w:noProof/>
        </w:rPr>
        <w:t xml:space="preserve">Friedman, M., &amp; Schwartz, A. J. (1963). </w:t>
      </w:r>
      <w:r w:rsidRPr="0091693F">
        <w:rPr>
          <w:i/>
          <w:iCs/>
          <w:noProof/>
        </w:rPr>
        <w:t>A monetary history of the United States, 1867- 1960</w:t>
      </w:r>
      <w:r w:rsidRPr="0091693F">
        <w:rPr>
          <w:noProof/>
        </w:rPr>
        <w:t>. Princeton University Press.</w:t>
      </w:r>
    </w:p>
    <w:p w14:paraId="349C6820" w14:textId="77777777" w:rsidR="0091693F" w:rsidRPr="0091693F" w:rsidRDefault="0091693F" w:rsidP="00327486">
      <w:pPr>
        <w:widowControl w:val="0"/>
        <w:autoSpaceDE w:val="0"/>
        <w:autoSpaceDN w:val="0"/>
        <w:adjustRightInd w:val="0"/>
        <w:ind w:left="480" w:hanging="480"/>
        <w:jc w:val="both"/>
        <w:rPr>
          <w:noProof/>
        </w:rPr>
      </w:pPr>
      <w:r w:rsidRPr="0091693F">
        <w:rPr>
          <w:noProof/>
        </w:rPr>
        <w:t xml:space="preserve">Gatawa, N. M., Abdulgafar, A., &amp; Olarinde, M. O. (2017). Impact of Money Supply and Inflation on Economic Growth in Nigeria (1973-2013). </w:t>
      </w:r>
      <w:r w:rsidRPr="0091693F">
        <w:rPr>
          <w:i/>
          <w:iCs/>
          <w:noProof/>
        </w:rPr>
        <w:t>IOSR Journal of Economics and Finance</w:t>
      </w:r>
      <w:r w:rsidRPr="0091693F">
        <w:rPr>
          <w:noProof/>
        </w:rPr>
        <w:t xml:space="preserve">, </w:t>
      </w:r>
      <w:r w:rsidRPr="0091693F">
        <w:rPr>
          <w:i/>
          <w:iCs/>
          <w:noProof/>
        </w:rPr>
        <w:t>08</w:t>
      </w:r>
      <w:r w:rsidRPr="0091693F">
        <w:rPr>
          <w:noProof/>
        </w:rPr>
        <w:t>(03), 26–37. https://doi.org/10.9790/5933-0803042637</w:t>
      </w:r>
    </w:p>
    <w:p w14:paraId="6F536EE3" w14:textId="77777777" w:rsidR="0091693F" w:rsidRPr="0091693F" w:rsidRDefault="0091693F" w:rsidP="00327486">
      <w:pPr>
        <w:widowControl w:val="0"/>
        <w:autoSpaceDE w:val="0"/>
        <w:autoSpaceDN w:val="0"/>
        <w:adjustRightInd w:val="0"/>
        <w:ind w:left="480" w:hanging="480"/>
        <w:jc w:val="both"/>
        <w:rPr>
          <w:noProof/>
        </w:rPr>
      </w:pPr>
      <w:r w:rsidRPr="0091693F">
        <w:rPr>
          <w:noProof/>
        </w:rPr>
        <w:t xml:space="preserve">Ghalib, A. D., Damayanti, D., &amp; Nur Shava, W. S. (2023). Pengaruh Produk Domestik Bruto dan Inflasi Terhadap Jumlah Uang Beredar (M1) di Indonesia Periode 1980 – 2020 Menurut Pendekatan Klasik. </w:t>
      </w:r>
      <w:r w:rsidRPr="0091693F">
        <w:rPr>
          <w:i/>
          <w:iCs/>
          <w:noProof/>
        </w:rPr>
        <w:t>WACANA EKONOMI (Jurnal Ekonomi, Bisnis Dan Akuntansi)</w:t>
      </w:r>
      <w:r w:rsidRPr="0091693F">
        <w:rPr>
          <w:noProof/>
        </w:rPr>
        <w:t xml:space="preserve">, </w:t>
      </w:r>
      <w:r w:rsidRPr="0091693F">
        <w:rPr>
          <w:i/>
          <w:iCs/>
          <w:noProof/>
        </w:rPr>
        <w:t>22</w:t>
      </w:r>
      <w:r w:rsidRPr="0091693F">
        <w:rPr>
          <w:noProof/>
        </w:rPr>
        <w:t>(2), 124–131. https://doi.org/10.22225/we.22.2.2023.124-131</w:t>
      </w:r>
    </w:p>
    <w:p w14:paraId="6ED1DD71" w14:textId="77777777" w:rsidR="0091693F" w:rsidRPr="0091693F" w:rsidRDefault="0091693F" w:rsidP="00327486">
      <w:pPr>
        <w:widowControl w:val="0"/>
        <w:autoSpaceDE w:val="0"/>
        <w:autoSpaceDN w:val="0"/>
        <w:adjustRightInd w:val="0"/>
        <w:ind w:left="480" w:hanging="480"/>
        <w:jc w:val="both"/>
        <w:rPr>
          <w:noProof/>
        </w:rPr>
      </w:pPr>
      <w:r w:rsidRPr="0091693F">
        <w:rPr>
          <w:noProof/>
        </w:rPr>
        <w:t xml:space="preserve">Gharehgozli, O., &amp; Lee, S. (2022). Money supply and inflation after COVID-19. </w:t>
      </w:r>
      <w:r w:rsidRPr="0091693F">
        <w:rPr>
          <w:i/>
          <w:iCs/>
          <w:noProof/>
        </w:rPr>
        <w:t>Economies</w:t>
      </w:r>
      <w:r w:rsidRPr="0091693F">
        <w:rPr>
          <w:noProof/>
        </w:rPr>
        <w:t xml:space="preserve">, </w:t>
      </w:r>
      <w:r w:rsidRPr="0091693F">
        <w:rPr>
          <w:i/>
          <w:iCs/>
          <w:noProof/>
        </w:rPr>
        <w:t>10</w:t>
      </w:r>
      <w:r w:rsidRPr="0091693F">
        <w:rPr>
          <w:noProof/>
        </w:rPr>
        <w:t>(5), 101.</w:t>
      </w:r>
    </w:p>
    <w:p w14:paraId="0429364F" w14:textId="77777777" w:rsidR="0091693F" w:rsidRPr="0091693F" w:rsidRDefault="0091693F" w:rsidP="00327486">
      <w:pPr>
        <w:widowControl w:val="0"/>
        <w:autoSpaceDE w:val="0"/>
        <w:autoSpaceDN w:val="0"/>
        <w:adjustRightInd w:val="0"/>
        <w:ind w:left="480" w:hanging="480"/>
        <w:jc w:val="both"/>
        <w:rPr>
          <w:noProof/>
        </w:rPr>
      </w:pPr>
      <w:r w:rsidRPr="0091693F">
        <w:rPr>
          <w:noProof/>
        </w:rPr>
        <w:t xml:space="preserve">Hashemzadeh, N., &amp; Taylor, P. (2019). Stock prices, money supply, and interest rates: the question of causality. </w:t>
      </w:r>
      <w:r w:rsidRPr="0091693F">
        <w:rPr>
          <w:i/>
          <w:iCs/>
          <w:noProof/>
        </w:rPr>
        <w:t>Applied Economics</w:t>
      </w:r>
      <w:r w:rsidRPr="0091693F">
        <w:rPr>
          <w:noProof/>
        </w:rPr>
        <w:t xml:space="preserve">, </w:t>
      </w:r>
      <w:r w:rsidRPr="0091693F">
        <w:rPr>
          <w:i/>
          <w:iCs/>
          <w:noProof/>
        </w:rPr>
        <w:t>20</w:t>
      </w:r>
      <w:r w:rsidRPr="0091693F">
        <w:rPr>
          <w:noProof/>
        </w:rPr>
        <w:t>(12), 1603–1611.</w:t>
      </w:r>
    </w:p>
    <w:p w14:paraId="3C152AB9" w14:textId="77777777" w:rsidR="0091693F" w:rsidRPr="0091693F" w:rsidRDefault="0091693F" w:rsidP="00327486">
      <w:pPr>
        <w:widowControl w:val="0"/>
        <w:autoSpaceDE w:val="0"/>
        <w:autoSpaceDN w:val="0"/>
        <w:adjustRightInd w:val="0"/>
        <w:ind w:left="480" w:hanging="480"/>
        <w:jc w:val="both"/>
        <w:rPr>
          <w:noProof/>
        </w:rPr>
      </w:pPr>
      <w:r w:rsidRPr="0091693F">
        <w:rPr>
          <w:noProof/>
        </w:rPr>
        <w:t xml:space="preserve">Hassan, S. S., &amp; Teleb, M. A. (2022). Money Supply Behavior in Egypt (2004-2019). </w:t>
      </w:r>
      <w:r w:rsidRPr="0091693F">
        <w:rPr>
          <w:i/>
          <w:iCs/>
          <w:noProof/>
        </w:rPr>
        <w:t>African Journal of Economics and Sustainable Development</w:t>
      </w:r>
      <w:r w:rsidRPr="0091693F">
        <w:rPr>
          <w:noProof/>
        </w:rPr>
        <w:t xml:space="preserve">, </w:t>
      </w:r>
      <w:r w:rsidRPr="0091693F">
        <w:rPr>
          <w:i/>
          <w:iCs/>
          <w:noProof/>
        </w:rPr>
        <w:t>5</w:t>
      </w:r>
      <w:r w:rsidRPr="0091693F">
        <w:rPr>
          <w:noProof/>
        </w:rPr>
        <w:t>(1), 59–74. https://doi.org/10.52589/ajesd-4veyypje</w:t>
      </w:r>
    </w:p>
    <w:p w14:paraId="1314D3A0" w14:textId="77777777" w:rsidR="0091693F" w:rsidRPr="0091693F" w:rsidRDefault="0091693F" w:rsidP="00327486">
      <w:pPr>
        <w:widowControl w:val="0"/>
        <w:autoSpaceDE w:val="0"/>
        <w:autoSpaceDN w:val="0"/>
        <w:adjustRightInd w:val="0"/>
        <w:ind w:left="480" w:hanging="480"/>
        <w:jc w:val="both"/>
        <w:rPr>
          <w:noProof/>
        </w:rPr>
      </w:pPr>
      <w:r w:rsidRPr="0091693F">
        <w:rPr>
          <w:noProof/>
        </w:rPr>
        <w:t xml:space="preserve">Hendayanti, N. P. N., Nurhidayati, M., &amp; Nugrahini, D. S. (2019). Analisis Pengaruh Nilai Tukar Rupiah terhadap Jumlah Uang Beredar dengan Pendekatan Error Correction Model (ECM). </w:t>
      </w:r>
      <w:r w:rsidRPr="0091693F">
        <w:rPr>
          <w:i/>
          <w:iCs/>
          <w:noProof/>
        </w:rPr>
        <w:t>Konferensi Nasional Sisten &amp; Informatika</w:t>
      </w:r>
      <w:r w:rsidRPr="0091693F">
        <w:rPr>
          <w:noProof/>
        </w:rPr>
        <w:t>, 186–190.</w:t>
      </w:r>
    </w:p>
    <w:p w14:paraId="2107617E" w14:textId="77777777" w:rsidR="0091693F" w:rsidRPr="0091693F" w:rsidRDefault="0091693F" w:rsidP="00327486">
      <w:pPr>
        <w:widowControl w:val="0"/>
        <w:autoSpaceDE w:val="0"/>
        <w:autoSpaceDN w:val="0"/>
        <w:adjustRightInd w:val="0"/>
        <w:ind w:left="480" w:hanging="480"/>
        <w:jc w:val="both"/>
        <w:rPr>
          <w:noProof/>
        </w:rPr>
      </w:pPr>
      <w:r w:rsidRPr="0091693F">
        <w:rPr>
          <w:noProof/>
        </w:rPr>
        <w:t xml:space="preserve">Hina, M., &amp; Anayat, U. (2019). The Role of Money Supply : Foreign Direct Investment &amp; </w:t>
      </w:r>
      <w:r w:rsidRPr="0091693F">
        <w:rPr>
          <w:noProof/>
        </w:rPr>
        <w:lastRenderedPageBreak/>
        <w:t xml:space="preserve">Economic Growth in Pakistan. </w:t>
      </w:r>
      <w:r w:rsidRPr="0091693F">
        <w:rPr>
          <w:i/>
          <w:iCs/>
          <w:noProof/>
        </w:rPr>
        <w:t>International Journal of Economics, Commerce and Management</w:t>
      </w:r>
      <w:r w:rsidRPr="0091693F">
        <w:rPr>
          <w:noProof/>
        </w:rPr>
        <w:t xml:space="preserve">, </w:t>
      </w:r>
      <w:r w:rsidRPr="0091693F">
        <w:rPr>
          <w:i/>
          <w:iCs/>
          <w:noProof/>
        </w:rPr>
        <w:t>VII</w:t>
      </w:r>
      <w:r w:rsidRPr="0091693F">
        <w:rPr>
          <w:noProof/>
        </w:rPr>
        <w:t>(2), 281–289. http://ijecm.co.uk</w:t>
      </w:r>
    </w:p>
    <w:p w14:paraId="3333D360" w14:textId="77777777" w:rsidR="0091693F" w:rsidRPr="0091693F" w:rsidRDefault="0091693F" w:rsidP="00327486">
      <w:pPr>
        <w:widowControl w:val="0"/>
        <w:autoSpaceDE w:val="0"/>
        <w:autoSpaceDN w:val="0"/>
        <w:adjustRightInd w:val="0"/>
        <w:ind w:left="480" w:hanging="480"/>
        <w:jc w:val="both"/>
        <w:rPr>
          <w:noProof/>
        </w:rPr>
      </w:pPr>
      <w:r w:rsidRPr="0091693F">
        <w:rPr>
          <w:noProof/>
        </w:rPr>
        <w:t xml:space="preserve">Hussain, M. E., &amp; Mahfuzul, H. (2017). Empirical Analysis of the Relationship between Money Supply and Per Capita GDP Growth Rate in Bangladesh. </w:t>
      </w:r>
      <w:r w:rsidRPr="0091693F">
        <w:rPr>
          <w:i/>
          <w:iCs/>
          <w:noProof/>
        </w:rPr>
        <w:t>Journal of Advances in Economics and Finance</w:t>
      </w:r>
      <w:r w:rsidRPr="0091693F">
        <w:rPr>
          <w:noProof/>
        </w:rPr>
        <w:t xml:space="preserve">, </w:t>
      </w:r>
      <w:r w:rsidRPr="0091693F">
        <w:rPr>
          <w:i/>
          <w:iCs/>
          <w:noProof/>
        </w:rPr>
        <w:t>2</w:t>
      </w:r>
      <w:r w:rsidRPr="0091693F">
        <w:rPr>
          <w:noProof/>
        </w:rPr>
        <w:t>(1), 54–66. https://doi.org/10.22606/jaef.2017.21005</w:t>
      </w:r>
    </w:p>
    <w:p w14:paraId="6640D0FB" w14:textId="77777777" w:rsidR="0091693F" w:rsidRPr="0091693F" w:rsidRDefault="0091693F" w:rsidP="00327486">
      <w:pPr>
        <w:widowControl w:val="0"/>
        <w:autoSpaceDE w:val="0"/>
        <w:autoSpaceDN w:val="0"/>
        <w:adjustRightInd w:val="0"/>
        <w:ind w:left="480" w:hanging="480"/>
        <w:jc w:val="both"/>
        <w:rPr>
          <w:noProof/>
        </w:rPr>
      </w:pPr>
      <w:r w:rsidRPr="0091693F">
        <w:rPr>
          <w:noProof/>
        </w:rPr>
        <w:t xml:space="preserve">Ito, T., Sasaki, Y. N., &amp; Sato, K. (2005). Pass-Through of Exchange Rate Changes and Macroeconomic Shocks to Domestic Inflation in East Asian Countries. </w:t>
      </w:r>
      <w:r w:rsidRPr="0091693F">
        <w:rPr>
          <w:i/>
          <w:iCs/>
          <w:noProof/>
        </w:rPr>
        <w:t>RIETI Discussion Paper Series</w:t>
      </w:r>
      <w:r w:rsidRPr="0091693F">
        <w:rPr>
          <w:noProof/>
        </w:rPr>
        <w:t xml:space="preserve">, </w:t>
      </w:r>
      <w:r w:rsidRPr="0091693F">
        <w:rPr>
          <w:i/>
          <w:iCs/>
          <w:noProof/>
        </w:rPr>
        <w:t>05</w:t>
      </w:r>
      <w:r w:rsidRPr="0091693F">
        <w:rPr>
          <w:noProof/>
        </w:rPr>
        <w:t>-</w:t>
      </w:r>
      <w:r w:rsidRPr="0091693F">
        <w:rPr>
          <w:i/>
          <w:iCs/>
          <w:noProof/>
        </w:rPr>
        <w:t>E</w:t>
      </w:r>
      <w:r w:rsidRPr="0091693F">
        <w:rPr>
          <w:noProof/>
        </w:rPr>
        <w:t>-</w:t>
      </w:r>
      <w:r w:rsidRPr="0091693F">
        <w:rPr>
          <w:i/>
          <w:iCs/>
          <w:noProof/>
        </w:rPr>
        <w:t>020</w:t>
      </w:r>
      <w:r w:rsidRPr="0091693F">
        <w:rPr>
          <w:noProof/>
        </w:rPr>
        <w:t>, 1–55.</w:t>
      </w:r>
    </w:p>
    <w:p w14:paraId="5F9E157B" w14:textId="77777777" w:rsidR="0091693F" w:rsidRPr="0091693F" w:rsidRDefault="0091693F" w:rsidP="00327486">
      <w:pPr>
        <w:widowControl w:val="0"/>
        <w:autoSpaceDE w:val="0"/>
        <w:autoSpaceDN w:val="0"/>
        <w:adjustRightInd w:val="0"/>
        <w:ind w:left="480" w:hanging="480"/>
        <w:jc w:val="both"/>
        <w:rPr>
          <w:noProof/>
        </w:rPr>
      </w:pPr>
      <w:r w:rsidRPr="0091693F">
        <w:rPr>
          <w:noProof/>
        </w:rPr>
        <w:t xml:space="preserve">Jahan, S., Mahmud, A. S., &amp; Papageorgiou, C. (2014). What is Keynesian economics? </w:t>
      </w:r>
      <w:r w:rsidRPr="0091693F">
        <w:rPr>
          <w:i/>
          <w:iCs/>
          <w:noProof/>
        </w:rPr>
        <w:t>Finance and Development</w:t>
      </w:r>
      <w:r w:rsidRPr="0091693F">
        <w:rPr>
          <w:noProof/>
        </w:rPr>
        <w:t xml:space="preserve">, </w:t>
      </w:r>
      <w:r w:rsidRPr="0091693F">
        <w:rPr>
          <w:i/>
          <w:iCs/>
          <w:noProof/>
        </w:rPr>
        <w:t>51</w:t>
      </w:r>
      <w:r w:rsidRPr="0091693F">
        <w:rPr>
          <w:noProof/>
        </w:rPr>
        <w:t>(3), 53–54.</w:t>
      </w:r>
    </w:p>
    <w:p w14:paraId="4EAB09E4" w14:textId="77777777" w:rsidR="0091693F" w:rsidRPr="0091693F" w:rsidRDefault="0091693F" w:rsidP="00327486">
      <w:pPr>
        <w:widowControl w:val="0"/>
        <w:autoSpaceDE w:val="0"/>
        <w:autoSpaceDN w:val="0"/>
        <w:adjustRightInd w:val="0"/>
        <w:ind w:left="480" w:hanging="480"/>
        <w:jc w:val="both"/>
        <w:rPr>
          <w:noProof/>
        </w:rPr>
      </w:pPr>
      <w:r w:rsidRPr="0091693F">
        <w:rPr>
          <w:noProof/>
        </w:rPr>
        <w:t xml:space="preserve">King, H. S. (1873). </w:t>
      </w:r>
      <w:r w:rsidRPr="0091693F">
        <w:rPr>
          <w:i/>
          <w:iCs/>
          <w:noProof/>
        </w:rPr>
        <w:t>Lombard Street: a Description of the Money Market</w:t>
      </w:r>
      <w:r w:rsidRPr="0091693F">
        <w:rPr>
          <w:noProof/>
        </w:rPr>
        <w:t xml:space="preserve"> (3rd ed.). https://historyofeconomicthought.mcmaster.ca/bagehot/lombard.html</w:t>
      </w:r>
    </w:p>
    <w:p w14:paraId="12A7537C" w14:textId="77777777" w:rsidR="0091693F" w:rsidRPr="0091693F" w:rsidRDefault="0091693F" w:rsidP="00327486">
      <w:pPr>
        <w:widowControl w:val="0"/>
        <w:autoSpaceDE w:val="0"/>
        <w:autoSpaceDN w:val="0"/>
        <w:adjustRightInd w:val="0"/>
        <w:ind w:left="480" w:hanging="480"/>
        <w:jc w:val="both"/>
        <w:rPr>
          <w:noProof/>
        </w:rPr>
      </w:pPr>
      <w:r w:rsidRPr="0091693F">
        <w:rPr>
          <w:noProof/>
        </w:rPr>
        <w:t xml:space="preserve">Koti, S., &amp; Bixho, T. (2016). Theories of Money Supply: The Relationship of Money Supply in a Period of Time T-1 and Inflation in Period T- Empirical Evidence from Albania. </w:t>
      </w:r>
      <w:r w:rsidRPr="0091693F">
        <w:rPr>
          <w:i/>
          <w:iCs/>
          <w:noProof/>
        </w:rPr>
        <w:t>European Journal of Multidisciplinary Studies</w:t>
      </w:r>
      <w:r w:rsidRPr="0091693F">
        <w:rPr>
          <w:noProof/>
        </w:rPr>
        <w:t xml:space="preserve">, </w:t>
      </w:r>
      <w:r w:rsidRPr="0091693F">
        <w:rPr>
          <w:i/>
          <w:iCs/>
          <w:noProof/>
        </w:rPr>
        <w:t>1</w:t>
      </w:r>
      <w:r w:rsidRPr="0091693F">
        <w:rPr>
          <w:noProof/>
        </w:rPr>
        <w:t>(1), 294. https://doi.org/10.26417/ejms.v1i1.p294-302</w:t>
      </w:r>
    </w:p>
    <w:p w14:paraId="383A85DA" w14:textId="77777777" w:rsidR="0091693F" w:rsidRPr="0091693F" w:rsidRDefault="0091693F" w:rsidP="00327486">
      <w:pPr>
        <w:widowControl w:val="0"/>
        <w:autoSpaceDE w:val="0"/>
        <w:autoSpaceDN w:val="0"/>
        <w:adjustRightInd w:val="0"/>
        <w:ind w:left="480" w:hanging="480"/>
        <w:jc w:val="both"/>
        <w:rPr>
          <w:noProof/>
        </w:rPr>
      </w:pPr>
      <w:r w:rsidRPr="0091693F">
        <w:rPr>
          <w:noProof/>
        </w:rPr>
        <w:t xml:space="preserve">Krugman, P. R. (2009). </w:t>
      </w:r>
      <w:r w:rsidRPr="0091693F">
        <w:rPr>
          <w:i/>
          <w:iCs/>
          <w:noProof/>
        </w:rPr>
        <w:t>International Economics Theory &amp; Policy</w:t>
      </w:r>
      <w:r w:rsidRPr="0091693F">
        <w:rPr>
          <w:noProof/>
        </w:rPr>
        <w:t xml:space="preserve"> (8th ed.). University of California Barkeley : Maurice Obstfeld.</w:t>
      </w:r>
    </w:p>
    <w:p w14:paraId="382DD2D0" w14:textId="77777777" w:rsidR="0091693F" w:rsidRPr="0091693F" w:rsidRDefault="0091693F" w:rsidP="00327486">
      <w:pPr>
        <w:widowControl w:val="0"/>
        <w:autoSpaceDE w:val="0"/>
        <w:autoSpaceDN w:val="0"/>
        <w:adjustRightInd w:val="0"/>
        <w:ind w:left="480" w:hanging="480"/>
        <w:jc w:val="both"/>
        <w:rPr>
          <w:noProof/>
        </w:rPr>
      </w:pPr>
      <w:r w:rsidRPr="0091693F">
        <w:rPr>
          <w:noProof/>
        </w:rPr>
        <w:t xml:space="preserve">Lakshmanasamy, T. (2021). </w:t>
      </w:r>
      <w:r w:rsidRPr="0091693F">
        <w:rPr>
          <w:i/>
          <w:iCs/>
          <w:noProof/>
        </w:rPr>
        <w:t>The Causal Relationship between Money Supply , Inflation , and Industrial Production in India : Vector Error Correction Estimation</w:t>
      </w:r>
      <w:r w:rsidRPr="0091693F">
        <w:rPr>
          <w:noProof/>
        </w:rPr>
        <w:t xml:space="preserve">. </w:t>
      </w:r>
      <w:r w:rsidRPr="0091693F">
        <w:rPr>
          <w:i/>
          <w:iCs/>
          <w:noProof/>
        </w:rPr>
        <w:t>11</w:t>
      </w:r>
      <w:r w:rsidRPr="0091693F">
        <w:rPr>
          <w:noProof/>
        </w:rPr>
        <w:t>(3), 34–43.</w:t>
      </w:r>
    </w:p>
    <w:p w14:paraId="50FD4E80" w14:textId="77777777" w:rsidR="0091693F" w:rsidRPr="0091693F" w:rsidRDefault="0091693F" w:rsidP="00327486">
      <w:pPr>
        <w:widowControl w:val="0"/>
        <w:autoSpaceDE w:val="0"/>
        <w:autoSpaceDN w:val="0"/>
        <w:adjustRightInd w:val="0"/>
        <w:ind w:left="480" w:hanging="480"/>
        <w:jc w:val="both"/>
        <w:rPr>
          <w:noProof/>
        </w:rPr>
      </w:pPr>
      <w:r w:rsidRPr="0091693F">
        <w:rPr>
          <w:noProof/>
        </w:rPr>
        <w:t xml:space="preserve">Laurens, B. J., &amp; Maino, R. (2019). </w:t>
      </w:r>
      <w:r w:rsidRPr="0091693F">
        <w:rPr>
          <w:i/>
          <w:iCs/>
          <w:noProof/>
        </w:rPr>
        <w:t>China : Strengthening Monetary Policy Implementation</w:t>
      </w:r>
      <w:r w:rsidRPr="0091693F">
        <w:rPr>
          <w:noProof/>
        </w:rPr>
        <w:t>.</w:t>
      </w:r>
    </w:p>
    <w:p w14:paraId="20B975A5" w14:textId="77777777" w:rsidR="0091693F" w:rsidRPr="0091693F" w:rsidRDefault="0091693F" w:rsidP="00327486">
      <w:pPr>
        <w:widowControl w:val="0"/>
        <w:autoSpaceDE w:val="0"/>
        <w:autoSpaceDN w:val="0"/>
        <w:adjustRightInd w:val="0"/>
        <w:ind w:left="480" w:hanging="480"/>
        <w:jc w:val="both"/>
        <w:rPr>
          <w:noProof/>
        </w:rPr>
      </w:pPr>
      <w:r w:rsidRPr="0091693F">
        <w:rPr>
          <w:noProof/>
        </w:rPr>
        <w:t xml:space="preserve">Li, B. (2022). When Government Expenditure Meets Bank Regulation: The Impact of Government Expenditure on Credit Supply. </w:t>
      </w:r>
      <w:r w:rsidRPr="0091693F">
        <w:rPr>
          <w:i/>
          <w:iCs/>
          <w:noProof/>
        </w:rPr>
        <w:t>SSRN Electronic Journal</w:t>
      </w:r>
      <w:r w:rsidRPr="0091693F">
        <w:rPr>
          <w:noProof/>
        </w:rPr>
        <w:t xml:space="preserve">, </w:t>
      </w:r>
      <w:r w:rsidRPr="0091693F">
        <w:rPr>
          <w:i/>
          <w:iCs/>
          <w:noProof/>
        </w:rPr>
        <w:t>21</w:t>
      </w:r>
      <w:r w:rsidRPr="0091693F">
        <w:rPr>
          <w:noProof/>
        </w:rPr>
        <w:t>. https://doi.org/10.2139/ssrn.4010448</w:t>
      </w:r>
    </w:p>
    <w:p w14:paraId="05E2F910" w14:textId="77777777" w:rsidR="0091693F" w:rsidRPr="0091693F" w:rsidRDefault="0091693F" w:rsidP="00327486">
      <w:pPr>
        <w:widowControl w:val="0"/>
        <w:autoSpaceDE w:val="0"/>
        <w:autoSpaceDN w:val="0"/>
        <w:adjustRightInd w:val="0"/>
        <w:ind w:left="480" w:hanging="480"/>
        <w:jc w:val="both"/>
        <w:rPr>
          <w:noProof/>
        </w:rPr>
      </w:pPr>
      <w:r w:rsidRPr="0091693F">
        <w:rPr>
          <w:noProof/>
        </w:rPr>
        <w:t xml:space="preserve">Lone, N. A., &amp; Yadav, D. D. K. (2016). Determinants of Money Supply in India: A Post Reform Scenario. </w:t>
      </w:r>
      <w:r w:rsidRPr="0091693F">
        <w:rPr>
          <w:i/>
          <w:iCs/>
          <w:noProof/>
        </w:rPr>
        <w:t>IOSR Journal of Economics and Finance</w:t>
      </w:r>
      <w:r w:rsidRPr="0091693F">
        <w:rPr>
          <w:noProof/>
        </w:rPr>
        <w:t xml:space="preserve">, </w:t>
      </w:r>
      <w:r w:rsidRPr="0091693F">
        <w:rPr>
          <w:i/>
          <w:iCs/>
          <w:noProof/>
        </w:rPr>
        <w:t>7</w:t>
      </w:r>
      <w:r w:rsidRPr="0091693F">
        <w:rPr>
          <w:noProof/>
        </w:rPr>
        <w:t>(5), 39–48. https://doi.org/10.9790/5933-0705033948</w:t>
      </w:r>
    </w:p>
    <w:p w14:paraId="6F797E2D" w14:textId="77777777" w:rsidR="0091693F" w:rsidRPr="0091693F" w:rsidRDefault="0091693F" w:rsidP="00327486">
      <w:pPr>
        <w:widowControl w:val="0"/>
        <w:autoSpaceDE w:val="0"/>
        <w:autoSpaceDN w:val="0"/>
        <w:adjustRightInd w:val="0"/>
        <w:ind w:left="480" w:hanging="480"/>
        <w:jc w:val="both"/>
        <w:rPr>
          <w:noProof/>
        </w:rPr>
      </w:pPr>
      <w:r w:rsidRPr="0091693F">
        <w:rPr>
          <w:noProof/>
        </w:rPr>
        <w:t xml:space="preserve">Lubis, S. R. (2020). Determinant analysis of Indonesian foreign debt (Error correction model approach). </w:t>
      </w:r>
      <w:r w:rsidRPr="0091693F">
        <w:rPr>
          <w:i/>
          <w:iCs/>
          <w:noProof/>
        </w:rPr>
        <w:t>International Journal of Scientific and Technology Research</w:t>
      </w:r>
      <w:r w:rsidRPr="0091693F">
        <w:rPr>
          <w:noProof/>
        </w:rPr>
        <w:t xml:space="preserve">, </w:t>
      </w:r>
      <w:r w:rsidRPr="0091693F">
        <w:rPr>
          <w:i/>
          <w:iCs/>
          <w:noProof/>
        </w:rPr>
        <w:t>9</w:t>
      </w:r>
      <w:r w:rsidRPr="0091693F">
        <w:rPr>
          <w:noProof/>
        </w:rPr>
        <w:t>(2), 2419–2424.</w:t>
      </w:r>
    </w:p>
    <w:p w14:paraId="22EA7A5D" w14:textId="77777777" w:rsidR="0091693F" w:rsidRPr="0091693F" w:rsidRDefault="0091693F" w:rsidP="00327486">
      <w:pPr>
        <w:widowControl w:val="0"/>
        <w:autoSpaceDE w:val="0"/>
        <w:autoSpaceDN w:val="0"/>
        <w:adjustRightInd w:val="0"/>
        <w:ind w:left="480" w:hanging="480"/>
        <w:jc w:val="both"/>
        <w:rPr>
          <w:noProof/>
        </w:rPr>
      </w:pPr>
      <w:r w:rsidRPr="0091693F">
        <w:rPr>
          <w:noProof/>
        </w:rPr>
        <w:t xml:space="preserve">Maesaroh, I., &amp; Fera Triani, L. (2013). Determinant of the Amount of Money Circulating in Indonesia (Review Money Supply (M2) 2006-2011). </w:t>
      </w:r>
      <w:r w:rsidRPr="0091693F">
        <w:rPr>
          <w:i/>
          <w:iCs/>
          <w:noProof/>
        </w:rPr>
        <w:t>Sustainable Competitive Advantage (SCA)</w:t>
      </w:r>
      <w:r w:rsidRPr="0091693F">
        <w:rPr>
          <w:noProof/>
        </w:rPr>
        <w:t xml:space="preserve">, </w:t>
      </w:r>
      <w:r w:rsidRPr="0091693F">
        <w:rPr>
          <w:i/>
          <w:iCs/>
          <w:noProof/>
        </w:rPr>
        <w:t>2</w:t>
      </w:r>
      <w:r w:rsidRPr="0091693F">
        <w:rPr>
          <w:noProof/>
        </w:rPr>
        <w:t>(1), 1–15.</w:t>
      </w:r>
    </w:p>
    <w:p w14:paraId="1864F88F" w14:textId="77777777" w:rsidR="0091693F" w:rsidRPr="0091693F" w:rsidRDefault="0091693F" w:rsidP="00327486">
      <w:pPr>
        <w:widowControl w:val="0"/>
        <w:autoSpaceDE w:val="0"/>
        <w:autoSpaceDN w:val="0"/>
        <w:adjustRightInd w:val="0"/>
        <w:ind w:left="480" w:hanging="480"/>
        <w:jc w:val="both"/>
        <w:rPr>
          <w:noProof/>
        </w:rPr>
      </w:pPr>
      <w:r w:rsidRPr="0091693F">
        <w:rPr>
          <w:noProof/>
        </w:rPr>
        <w:t xml:space="preserve">Maitra, B. (2019). Money Supply and Exchange Rate Variations in Sri Lanka in the Independent Float Regime—A Time Domain Study. </w:t>
      </w:r>
      <w:r w:rsidRPr="0091693F">
        <w:rPr>
          <w:i/>
          <w:iCs/>
          <w:noProof/>
        </w:rPr>
        <w:t>South Asia Economic Journal</w:t>
      </w:r>
      <w:r w:rsidRPr="0091693F">
        <w:rPr>
          <w:noProof/>
        </w:rPr>
        <w:t xml:space="preserve">, </w:t>
      </w:r>
      <w:r w:rsidRPr="0091693F">
        <w:rPr>
          <w:i/>
          <w:iCs/>
          <w:noProof/>
        </w:rPr>
        <w:t>11</w:t>
      </w:r>
      <w:r w:rsidRPr="0091693F">
        <w:rPr>
          <w:noProof/>
        </w:rPr>
        <w:t>(1), 111–129.</w:t>
      </w:r>
    </w:p>
    <w:p w14:paraId="74A05752" w14:textId="77777777" w:rsidR="0091693F" w:rsidRPr="0091693F" w:rsidRDefault="0091693F" w:rsidP="00327486">
      <w:pPr>
        <w:widowControl w:val="0"/>
        <w:autoSpaceDE w:val="0"/>
        <w:autoSpaceDN w:val="0"/>
        <w:adjustRightInd w:val="0"/>
        <w:ind w:left="480" w:hanging="480"/>
        <w:jc w:val="both"/>
        <w:rPr>
          <w:noProof/>
        </w:rPr>
      </w:pPr>
      <w:r w:rsidRPr="0091693F">
        <w:rPr>
          <w:noProof/>
        </w:rPr>
        <w:t xml:space="preserve">Makwandi, &amp; Raphael. (2017). The Impact of Government Expenditure, Money Supply and Inflation on Economic Growth in Tanzania. </w:t>
      </w:r>
      <w:r w:rsidRPr="0091693F">
        <w:rPr>
          <w:i/>
          <w:iCs/>
          <w:noProof/>
        </w:rPr>
        <w:t>Huria Journal</w:t>
      </w:r>
      <w:r w:rsidRPr="0091693F">
        <w:rPr>
          <w:noProof/>
        </w:rPr>
        <w:t xml:space="preserve">, </w:t>
      </w:r>
      <w:r w:rsidRPr="0091693F">
        <w:rPr>
          <w:i/>
          <w:iCs/>
          <w:noProof/>
        </w:rPr>
        <w:t>25</w:t>
      </w:r>
      <w:r w:rsidRPr="0091693F">
        <w:rPr>
          <w:noProof/>
        </w:rPr>
        <w:t>(1), 51–66. http://repositorio.unan.edu.ni/2986/1/5624.pdf%0Ahttp://fiskal.kemenkeu.go.id/ejournal%0Ahttp://dx.doi.org/10.1016/j.cirp.2016.06.001%0Ahttp://dx.doi.org/10.1016/j.powtec.2016.12.055%0Ahttps://doi.org/10.1016/j.ijfatigue.2019.02.006%0Ahttps://doi.org/10.1</w:t>
      </w:r>
    </w:p>
    <w:p w14:paraId="4642C8AB" w14:textId="77777777" w:rsidR="0091693F" w:rsidRPr="0091693F" w:rsidRDefault="0091693F" w:rsidP="00327486">
      <w:pPr>
        <w:widowControl w:val="0"/>
        <w:autoSpaceDE w:val="0"/>
        <w:autoSpaceDN w:val="0"/>
        <w:adjustRightInd w:val="0"/>
        <w:ind w:left="480" w:hanging="480"/>
        <w:jc w:val="both"/>
        <w:rPr>
          <w:noProof/>
        </w:rPr>
      </w:pPr>
      <w:r w:rsidRPr="0091693F">
        <w:rPr>
          <w:noProof/>
        </w:rPr>
        <w:t xml:space="preserve">Mankiw, N. G. (2012). </w:t>
      </w:r>
      <w:r w:rsidRPr="0091693F">
        <w:rPr>
          <w:i/>
          <w:iCs/>
          <w:noProof/>
        </w:rPr>
        <w:t>Pengantar Ekonomi. Edisi Asia</w:t>
      </w:r>
      <w:r w:rsidRPr="0091693F">
        <w:rPr>
          <w:noProof/>
        </w:rPr>
        <w:t>. Salemba Empat.</w:t>
      </w:r>
    </w:p>
    <w:p w14:paraId="0B1926E9" w14:textId="77777777" w:rsidR="0091693F" w:rsidRPr="0091693F" w:rsidRDefault="0091693F" w:rsidP="00327486">
      <w:pPr>
        <w:widowControl w:val="0"/>
        <w:autoSpaceDE w:val="0"/>
        <w:autoSpaceDN w:val="0"/>
        <w:adjustRightInd w:val="0"/>
        <w:ind w:left="480" w:hanging="480"/>
        <w:jc w:val="both"/>
        <w:rPr>
          <w:noProof/>
        </w:rPr>
      </w:pPr>
      <w:r w:rsidRPr="0091693F">
        <w:rPr>
          <w:noProof/>
        </w:rPr>
        <w:t xml:space="preserve">Mentari, W. A., &amp; Pangidoan, E. (2020). Pengaruh produk domestik bruto, suku bunga, </w:t>
      </w:r>
      <w:r w:rsidRPr="0091693F">
        <w:rPr>
          <w:noProof/>
        </w:rPr>
        <w:lastRenderedPageBreak/>
        <w:t xml:space="preserve">dan inflasi terhadap jumlah uang beredar di Indonesia. </w:t>
      </w:r>
      <w:r w:rsidRPr="0091693F">
        <w:rPr>
          <w:i/>
          <w:iCs/>
          <w:noProof/>
        </w:rPr>
        <w:t>Jurnal Sains Ekonomi</w:t>
      </w:r>
      <w:r w:rsidRPr="0091693F">
        <w:rPr>
          <w:noProof/>
        </w:rPr>
        <w:t xml:space="preserve">, </w:t>
      </w:r>
      <w:r w:rsidRPr="0091693F">
        <w:rPr>
          <w:i/>
          <w:iCs/>
          <w:noProof/>
        </w:rPr>
        <w:t>1</w:t>
      </w:r>
      <w:r w:rsidRPr="0091693F">
        <w:rPr>
          <w:noProof/>
        </w:rPr>
        <w:t>(1), 9–17.</w:t>
      </w:r>
    </w:p>
    <w:p w14:paraId="5EF66381" w14:textId="77777777" w:rsidR="0091693F" w:rsidRPr="0091693F" w:rsidRDefault="0091693F" w:rsidP="00327486">
      <w:pPr>
        <w:widowControl w:val="0"/>
        <w:autoSpaceDE w:val="0"/>
        <w:autoSpaceDN w:val="0"/>
        <w:adjustRightInd w:val="0"/>
        <w:ind w:left="480" w:hanging="480"/>
        <w:jc w:val="both"/>
        <w:rPr>
          <w:noProof/>
        </w:rPr>
      </w:pPr>
      <w:r w:rsidRPr="0091693F">
        <w:rPr>
          <w:noProof/>
        </w:rPr>
        <w:t xml:space="preserve">Miskhin, F. S. (2017). </w:t>
      </w:r>
      <w:r w:rsidRPr="0091693F">
        <w:rPr>
          <w:i/>
          <w:iCs/>
          <w:noProof/>
        </w:rPr>
        <w:t>Ekonomi Uang, Perbankan, dan Pasar Keuangan</w:t>
      </w:r>
      <w:r w:rsidRPr="0091693F">
        <w:rPr>
          <w:noProof/>
        </w:rPr>
        <w:t>. Salemba Empat.</w:t>
      </w:r>
    </w:p>
    <w:p w14:paraId="2D5421CF" w14:textId="77777777" w:rsidR="0091693F" w:rsidRPr="0091693F" w:rsidRDefault="0091693F" w:rsidP="00327486">
      <w:pPr>
        <w:widowControl w:val="0"/>
        <w:autoSpaceDE w:val="0"/>
        <w:autoSpaceDN w:val="0"/>
        <w:adjustRightInd w:val="0"/>
        <w:ind w:left="480" w:hanging="480"/>
        <w:jc w:val="both"/>
        <w:rPr>
          <w:noProof/>
        </w:rPr>
      </w:pPr>
      <w:r w:rsidRPr="0091693F">
        <w:rPr>
          <w:noProof/>
        </w:rPr>
        <w:t xml:space="preserve">Mitchell, W. C. (1896). The Quantitiy Theory of the Value of Money. </w:t>
      </w:r>
      <w:r w:rsidRPr="0091693F">
        <w:rPr>
          <w:i/>
          <w:iCs/>
          <w:noProof/>
        </w:rPr>
        <w:t>JSTOR</w:t>
      </w:r>
      <w:r w:rsidRPr="0091693F">
        <w:rPr>
          <w:noProof/>
        </w:rPr>
        <w:t>.</w:t>
      </w:r>
    </w:p>
    <w:p w14:paraId="0FA1C2CA" w14:textId="77777777" w:rsidR="0091693F" w:rsidRPr="0091693F" w:rsidRDefault="0091693F" w:rsidP="00327486">
      <w:pPr>
        <w:widowControl w:val="0"/>
        <w:autoSpaceDE w:val="0"/>
        <w:autoSpaceDN w:val="0"/>
        <w:adjustRightInd w:val="0"/>
        <w:ind w:left="480" w:hanging="480"/>
        <w:jc w:val="both"/>
        <w:rPr>
          <w:noProof/>
        </w:rPr>
      </w:pPr>
      <w:r w:rsidRPr="0091693F">
        <w:rPr>
          <w:noProof/>
        </w:rPr>
        <w:t xml:space="preserve">Obstfeld, M., &amp; Rogoff, K. (2021). The Mirage of Fixed Exchange Rates Fixed Exchange Rates: Their Operation, Costs and Benefits. </w:t>
      </w:r>
      <w:r w:rsidRPr="0091693F">
        <w:rPr>
          <w:i/>
          <w:iCs/>
          <w:noProof/>
        </w:rPr>
        <w:t>Journal of Economic Perspectives</w:t>
      </w:r>
      <w:r w:rsidRPr="0091693F">
        <w:rPr>
          <w:noProof/>
        </w:rPr>
        <w:t xml:space="preserve">, </w:t>
      </w:r>
      <w:r w:rsidRPr="0091693F">
        <w:rPr>
          <w:i/>
          <w:iCs/>
          <w:noProof/>
        </w:rPr>
        <w:t>9</w:t>
      </w:r>
      <w:r w:rsidRPr="0091693F">
        <w:rPr>
          <w:noProof/>
        </w:rPr>
        <w:t>(4), 73–96.</w:t>
      </w:r>
    </w:p>
    <w:p w14:paraId="4BBA88E3" w14:textId="77777777" w:rsidR="0091693F" w:rsidRPr="0091693F" w:rsidRDefault="0091693F" w:rsidP="00327486">
      <w:pPr>
        <w:widowControl w:val="0"/>
        <w:autoSpaceDE w:val="0"/>
        <w:autoSpaceDN w:val="0"/>
        <w:adjustRightInd w:val="0"/>
        <w:ind w:left="480" w:hanging="480"/>
        <w:jc w:val="both"/>
        <w:rPr>
          <w:noProof/>
        </w:rPr>
      </w:pPr>
      <w:r w:rsidRPr="0091693F">
        <w:rPr>
          <w:noProof/>
        </w:rPr>
        <w:t xml:space="preserve">Obstfeld, M., Shambaugh, J. C., &amp; Taylor, A. M. (2022). The trilemma in history: tradeoffs among exchange rates, monetary policies, and capital mobility. </w:t>
      </w:r>
      <w:r w:rsidRPr="0091693F">
        <w:rPr>
          <w:i/>
          <w:iCs/>
          <w:noProof/>
        </w:rPr>
        <w:t>Review of Economics and Statistics</w:t>
      </w:r>
      <w:r w:rsidRPr="0091693F">
        <w:rPr>
          <w:noProof/>
        </w:rPr>
        <w:t xml:space="preserve">, </w:t>
      </w:r>
      <w:r w:rsidRPr="0091693F">
        <w:rPr>
          <w:i/>
          <w:iCs/>
          <w:noProof/>
        </w:rPr>
        <w:t>87</w:t>
      </w:r>
      <w:r w:rsidRPr="0091693F">
        <w:rPr>
          <w:noProof/>
        </w:rPr>
        <w:t>(3), 423–438.</w:t>
      </w:r>
    </w:p>
    <w:p w14:paraId="4E224D92" w14:textId="77777777" w:rsidR="0091693F" w:rsidRPr="0091693F" w:rsidRDefault="0091693F" w:rsidP="00327486">
      <w:pPr>
        <w:widowControl w:val="0"/>
        <w:autoSpaceDE w:val="0"/>
        <w:autoSpaceDN w:val="0"/>
        <w:adjustRightInd w:val="0"/>
        <w:ind w:left="480" w:hanging="480"/>
        <w:jc w:val="both"/>
        <w:rPr>
          <w:noProof/>
        </w:rPr>
      </w:pPr>
      <w:r w:rsidRPr="0091693F">
        <w:rPr>
          <w:noProof/>
        </w:rPr>
        <w:t xml:space="preserve">Omran, M., &amp; Bolbol, A. (2022). Foreign direct investment, financial development, and economic growth: evidence from the Arab countries. </w:t>
      </w:r>
      <w:r w:rsidRPr="0091693F">
        <w:rPr>
          <w:i/>
          <w:iCs/>
          <w:noProof/>
        </w:rPr>
        <w:t>Review of Middle East Economics and Finance</w:t>
      </w:r>
      <w:r w:rsidRPr="0091693F">
        <w:rPr>
          <w:noProof/>
        </w:rPr>
        <w:t xml:space="preserve">, </w:t>
      </w:r>
      <w:r w:rsidRPr="0091693F">
        <w:rPr>
          <w:i/>
          <w:iCs/>
          <w:noProof/>
        </w:rPr>
        <w:t>1</w:t>
      </w:r>
      <w:r w:rsidRPr="0091693F">
        <w:rPr>
          <w:noProof/>
        </w:rPr>
        <w:t>(3), 37–55.</w:t>
      </w:r>
    </w:p>
    <w:p w14:paraId="1506C377" w14:textId="77777777" w:rsidR="0091693F" w:rsidRPr="0091693F" w:rsidRDefault="0091693F" w:rsidP="00327486">
      <w:pPr>
        <w:widowControl w:val="0"/>
        <w:autoSpaceDE w:val="0"/>
        <w:autoSpaceDN w:val="0"/>
        <w:adjustRightInd w:val="0"/>
        <w:ind w:left="480" w:hanging="480"/>
        <w:jc w:val="both"/>
        <w:rPr>
          <w:noProof/>
        </w:rPr>
      </w:pPr>
      <w:r w:rsidRPr="0091693F">
        <w:rPr>
          <w:noProof/>
        </w:rPr>
        <w:t xml:space="preserve">Onyedibe, F. C., Uzonwanne, M. C., &amp; Chidinma, M. C. (2022). </w:t>
      </w:r>
      <w:r w:rsidRPr="0091693F">
        <w:rPr>
          <w:i/>
          <w:iCs/>
          <w:noProof/>
        </w:rPr>
        <w:t>Impact of Budget Deficit Financing on Money Supply in Nigeria Impact of Budget Deficit Financing on Money Supply in Nigeria</w:t>
      </w:r>
      <w:r w:rsidRPr="0091693F">
        <w:rPr>
          <w:noProof/>
        </w:rPr>
        <w:t xml:space="preserve">. </w:t>
      </w:r>
      <w:r w:rsidRPr="0091693F">
        <w:rPr>
          <w:i/>
          <w:iCs/>
          <w:noProof/>
        </w:rPr>
        <w:t>May</w:t>
      </w:r>
      <w:r w:rsidRPr="0091693F">
        <w:rPr>
          <w:noProof/>
        </w:rPr>
        <w:t>. https://doi.org/10.20448/growth.v9i1.3931</w:t>
      </w:r>
    </w:p>
    <w:p w14:paraId="3F857583" w14:textId="77777777" w:rsidR="0091693F" w:rsidRPr="0091693F" w:rsidRDefault="0091693F" w:rsidP="00327486">
      <w:pPr>
        <w:widowControl w:val="0"/>
        <w:autoSpaceDE w:val="0"/>
        <w:autoSpaceDN w:val="0"/>
        <w:adjustRightInd w:val="0"/>
        <w:ind w:left="480" w:hanging="480"/>
        <w:jc w:val="both"/>
        <w:rPr>
          <w:noProof/>
        </w:rPr>
      </w:pPr>
      <w:r w:rsidRPr="0091693F">
        <w:rPr>
          <w:noProof/>
        </w:rPr>
        <w:t xml:space="preserve">Osakwe, J. O. (2019). </w:t>
      </w:r>
      <w:r w:rsidRPr="0091693F">
        <w:rPr>
          <w:i/>
          <w:iCs/>
          <w:noProof/>
        </w:rPr>
        <w:t>Government expenditures, money supply and prices: 1970-80.</w:t>
      </w:r>
    </w:p>
    <w:p w14:paraId="7DF9EECA" w14:textId="77777777" w:rsidR="0091693F" w:rsidRPr="0091693F" w:rsidRDefault="0091693F" w:rsidP="00327486">
      <w:pPr>
        <w:widowControl w:val="0"/>
        <w:autoSpaceDE w:val="0"/>
        <w:autoSpaceDN w:val="0"/>
        <w:adjustRightInd w:val="0"/>
        <w:ind w:left="480" w:hanging="480"/>
        <w:jc w:val="both"/>
        <w:rPr>
          <w:noProof/>
        </w:rPr>
      </w:pPr>
      <w:r w:rsidRPr="0091693F">
        <w:rPr>
          <w:noProof/>
        </w:rPr>
        <w:t xml:space="preserve">Parulian, T., &amp; Utami, F. (2024). Pengaruh Inflasi, Tingkat Suku Bunga, dan E-Money terhadap Jumlah Uang Beredar di Indonesia. </w:t>
      </w:r>
      <w:r w:rsidRPr="0091693F">
        <w:rPr>
          <w:i/>
          <w:iCs/>
          <w:noProof/>
        </w:rPr>
        <w:t>Jesya</w:t>
      </w:r>
      <w:r w:rsidRPr="0091693F">
        <w:rPr>
          <w:noProof/>
        </w:rPr>
        <w:t xml:space="preserve">, </w:t>
      </w:r>
      <w:r w:rsidRPr="0091693F">
        <w:rPr>
          <w:i/>
          <w:iCs/>
          <w:noProof/>
        </w:rPr>
        <w:t>7</w:t>
      </w:r>
      <w:r w:rsidRPr="0091693F">
        <w:rPr>
          <w:noProof/>
        </w:rPr>
        <w:t>(1), chrome-extension://efaidnbmnnnibpcajpcglclefindmka.</w:t>
      </w:r>
    </w:p>
    <w:p w14:paraId="784AB12B" w14:textId="77777777" w:rsidR="0091693F" w:rsidRPr="0091693F" w:rsidRDefault="0091693F" w:rsidP="00327486">
      <w:pPr>
        <w:widowControl w:val="0"/>
        <w:autoSpaceDE w:val="0"/>
        <w:autoSpaceDN w:val="0"/>
        <w:adjustRightInd w:val="0"/>
        <w:ind w:left="480" w:hanging="480"/>
        <w:jc w:val="both"/>
        <w:rPr>
          <w:noProof/>
        </w:rPr>
      </w:pPr>
      <w:r w:rsidRPr="0091693F">
        <w:rPr>
          <w:noProof/>
        </w:rPr>
        <w:t xml:space="preserve">Paul, T. M., Inore, I., &amp; Kimata, J. (2023). </w:t>
      </w:r>
      <w:r w:rsidRPr="0091693F">
        <w:rPr>
          <w:i/>
          <w:iCs/>
          <w:noProof/>
        </w:rPr>
        <w:t>A Study of Inflation , Exchange Rates , Money Supply , and Real GDP , Employing the Cointegration , and Error Correction Models for Annual Data between 1977 to 2020 for Papua New Guinea- a Pacific Island Country</w:t>
      </w:r>
      <w:r w:rsidRPr="0091693F">
        <w:rPr>
          <w:noProof/>
        </w:rPr>
        <w:t>. 1069–1081.</w:t>
      </w:r>
    </w:p>
    <w:p w14:paraId="647BAD23" w14:textId="77777777" w:rsidR="0091693F" w:rsidRPr="0091693F" w:rsidRDefault="0091693F" w:rsidP="00327486">
      <w:pPr>
        <w:widowControl w:val="0"/>
        <w:autoSpaceDE w:val="0"/>
        <w:autoSpaceDN w:val="0"/>
        <w:adjustRightInd w:val="0"/>
        <w:ind w:left="480" w:hanging="480"/>
        <w:jc w:val="both"/>
        <w:rPr>
          <w:noProof/>
        </w:rPr>
      </w:pPr>
      <w:r w:rsidRPr="0091693F">
        <w:rPr>
          <w:noProof/>
        </w:rPr>
        <w:t xml:space="preserve">Prasasti, K. B., &amp; Slamet, E. J. (2020). Pengaruh Jumlah Uang Beredar Terhadap Inflasi Dan Suku Bunga, Serta Terhadap Investasi Dan Pertumbuhan Ekonomi Di Indonesia. </w:t>
      </w:r>
      <w:r w:rsidRPr="0091693F">
        <w:rPr>
          <w:i/>
          <w:iCs/>
          <w:noProof/>
        </w:rPr>
        <w:t>Jurnal Ekonomi Dan Bisnis Airlangga</w:t>
      </w:r>
      <w:r w:rsidRPr="0091693F">
        <w:rPr>
          <w:noProof/>
        </w:rPr>
        <w:t xml:space="preserve">, </w:t>
      </w:r>
      <w:r w:rsidRPr="0091693F">
        <w:rPr>
          <w:i/>
          <w:iCs/>
          <w:noProof/>
        </w:rPr>
        <w:t>30</w:t>
      </w:r>
      <w:r w:rsidRPr="0091693F">
        <w:rPr>
          <w:noProof/>
        </w:rPr>
        <w:t>(1), 39. https://doi.org/10.20473/jeba.v30i12020.39-48</w:t>
      </w:r>
    </w:p>
    <w:p w14:paraId="77AE14EB" w14:textId="77777777" w:rsidR="0091693F" w:rsidRPr="0091693F" w:rsidRDefault="0091693F" w:rsidP="00327486">
      <w:pPr>
        <w:widowControl w:val="0"/>
        <w:autoSpaceDE w:val="0"/>
        <w:autoSpaceDN w:val="0"/>
        <w:adjustRightInd w:val="0"/>
        <w:ind w:left="480" w:hanging="480"/>
        <w:jc w:val="both"/>
        <w:rPr>
          <w:noProof/>
        </w:rPr>
      </w:pPr>
      <w:r w:rsidRPr="0091693F">
        <w:rPr>
          <w:noProof/>
        </w:rPr>
        <w:t xml:space="preserve">Radifan, F., &amp; Saputra, P. M. A. (2022). Pengaruh Jumlah Uang Beredar, Nilai Tukar, Foreign Direct Investment, Dan Indeks Harga Perdagangan Besar Terhadap Ekspor Indonesia Tahun 2009-2021. </w:t>
      </w:r>
      <w:r w:rsidRPr="0091693F">
        <w:rPr>
          <w:i/>
          <w:iCs/>
          <w:noProof/>
        </w:rPr>
        <w:t>Contemporary Studies in Economic, Finance and Banking</w:t>
      </w:r>
      <w:r w:rsidRPr="0091693F">
        <w:rPr>
          <w:noProof/>
        </w:rPr>
        <w:t xml:space="preserve">, </w:t>
      </w:r>
      <w:r w:rsidRPr="0091693F">
        <w:rPr>
          <w:i/>
          <w:iCs/>
          <w:noProof/>
        </w:rPr>
        <w:t>1</w:t>
      </w:r>
      <w:r w:rsidRPr="0091693F">
        <w:rPr>
          <w:noProof/>
        </w:rPr>
        <w:t>(3), 532–545. http://dx.doi.org/10.21776/csefb.2022.01.3.15.</w:t>
      </w:r>
    </w:p>
    <w:p w14:paraId="6C656937" w14:textId="77777777" w:rsidR="0091693F" w:rsidRPr="0091693F" w:rsidRDefault="0091693F" w:rsidP="00327486">
      <w:pPr>
        <w:widowControl w:val="0"/>
        <w:autoSpaceDE w:val="0"/>
        <w:autoSpaceDN w:val="0"/>
        <w:adjustRightInd w:val="0"/>
        <w:ind w:left="480" w:hanging="480"/>
        <w:jc w:val="both"/>
        <w:rPr>
          <w:noProof/>
        </w:rPr>
      </w:pPr>
      <w:r w:rsidRPr="0091693F">
        <w:rPr>
          <w:noProof/>
        </w:rPr>
        <w:t xml:space="preserve">Ramadhan, M. A., &amp; Sitorus, N. H. (2023). ANALISIS DETERMINAN REALISASI PENANAMAN MODAL ASING DI Walaupun status ini dapat meningkatkan pandangan investor asing terhadap Indonesia , namun status ini juga berpotensi untuk menyebabkan pengurangan bantuan internasional yang mungkin dapat diterima ol. </w:t>
      </w:r>
      <w:r w:rsidRPr="0091693F">
        <w:rPr>
          <w:i/>
          <w:iCs/>
          <w:noProof/>
        </w:rPr>
        <w:t>Jurnal Ekonomi Pembangunan (JEP)</w:t>
      </w:r>
      <w:r w:rsidRPr="0091693F">
        <w:rPr>
          <w:noProof/>
        </w:rPr>
        <w:t xml:space="preserve">, </w:t>
      </w:r>
      <w:r w:rsidRPr="0091693F">
        <w:rPr>
          <w:i/>
          <w:iCs/>
          <w:noProof/>
        </w:rPr>
        <w:t>12</w:t>
      </w:r>
      <w:r w:rsidRPr="0091693F">
        <w:rPr>
          <w:noProof/>
        </w:rPr>
        <w:t>(3), 134–145.</w:t>
      </w:r>
    </w:p>
    <w:p w14:paraId="098247EA" w14:textId="77777777" w:rsidR="0091693F" w:rsidRPr="0091693F" w:rsidRDefault="0091693F" w:rsidP="00327486">
      <w:pPr>
        <w:widowControl w:val="0"/>
        <w:autoSpaceDE w:val="0"/>
        <w:autoSpaceDN w:val="0"/>
        <w:adjustRightInd w:val="0"/>
        <w:ind w:left="480" w:hanging="480"/>
        <w:jc w:val="both"/>
        <w:rPr>
          <w:noProof/>
        </w:rPr>
      </w:pPr>
      <w:r w:rsidRPr="0091693F">
        <w:rPr>
          <w:noProof/>
        </w:rPr>
        <w:t xml:space="preserve">Rastagno, M. (2019). </w:t>
      </w:r>
      <w:r w:rsidRPr="0091693F">
        <w:rPr>
          <w:i/>
          <w:iCs/>
          <w:noProof/>
        </w:rPr>
        <w:t>A tale of two decades: The ECB’s monetary policy at 20</w:t>
      </w:r>
      <w:r w:rsidRPr="0091693F">
        <w:rPr>
          <w:noProof/>
        </w:rPr>
        <w:t xml:space="preserve">. </w:t>
      </w:r>
      <w:r w:rsidRPr="0091693F">
        <w:rPr>
          <w:i/>
          <w:iCs/>
          <w:noProof/>
        </w:rPr>
        <w:t>2346</w:t>
      </w:r>
      <w:r w:rsidRPr="0091693F">
        <w:rPr>
          <w:noProof/>
        </w:rPr>
        <w:t>.</w:t>
      </w:r>
    </w:p>
    <w:p w14:paraId="660D82E5" w14:textId="77777777" w:rsidR="0091693F" w:rsidRPr="0091693F" w:rsidRDefault="0091693F" w:rsidP="00327486">
      <w:pPr>
        <w:widowControl w:val="0"/>
        <w:autoSpaceDE w:val="0"/>
        <w:autoSpaceDN w:val="0"/>
        <w:adjustRightInd w:val="0"/>
        <w:ind w:left="480" w:hanging="480"/>
        <w:jc w:val="both"/>
        <w:rPr>
          <w:noProof/>
        </w:rPr>
      </w:pPr>
      <w:r w:rsidRPr="0091693F">
        <w:rPr>
          <w:noProof/>
        </w:rPr>
        <w:t xml:space="preserve">Razia, A., &amp; Omarya, M. (2022). The Impact of the Broad Money Supply (M2) on Economic Growth per Capita in Palestine. </w:t>
      </w:r>
      <w:r w:rsidRPr="0091693F">
        <w:rPr>
          <w:i/>
          <w:iCs/>
          <w:noProof/>
        </w:rPr>
        <w:t>International Journal of Business Ethics and Governance</w:t>
      </w:r>
      <w:r w:rsidRPr="0091693F">
        <w:rPr>
          <w:noProof/>
        </w:rPr>
        <w:t xml:space="preserve">, </w:t>
      </w:r>
      <w:r w:rsidRPr="0091693F">
        <w:rPr>
          <w:i/>
          <w:iCs/>
          <w:noProof/>
        </w:rPr>
        <w:t>5</w:t>
      </w:r>
      <w:r w:rsidRPr="0091693F">
        <w:rPr>
          <w:noProof/>
        </w:rPr>
        <w:t>(2), 1–10. https://doi.org/10.51325/ijbeg.v5i2.86</w:t>
      </w:r>
    </w:p>
    <w:p w14:paraId="2F636F72" w14:textId="77777777" w:rsidR="0091693F" w:rsidRPr="0091693F" w:rsidRDefault="0091693F" w:rsidP="00327486">
      <w:pPr>
        <w:widowControl w:val="0"/>
        <w:autoSpaceDE w:val="0"/>
        <w:autoSpaceDN w:val="0"/>
        <w:adjustRightInd w:val="0"/>
        <w:ind w:left="480" w:hanging="480"/>
        <w:jc w:val="both"/>
        <w:rPr>
          <w:noProof/>
        </w:rPr>
      </w:pPr>
      <w:r w:rsidRPr="0091693F">
        <w:rPr>
          <w:noProof/>
        </w:rPr>
        <w:t xml:space="preserve">Rivera-Batiz, L., F., &amp; Rivera-Batiz, L. (1985). </w:t>
      </w:r>
      <w:r w:rsidRPr="0091693F">
        <w:rPr>
          <w:i/>
          <w:iCs/>
          <w:noProof/>
        </w:rPr>
        <w:t>International Finance and Open Economy Macroeconomics</w:t>
      </w:r>
      <w:r w:rsidRPr="0091693F">
        <w:rPr>
          <w:noProof/>
        </w:rPr>
        <w:t>. Macmillian.</w:t>
      </w:r>
    </w:p>
    <w:p w14:paraId="14B7439B" w14:textId="77777777" w:rsidR="0091693F" w:rsidRPr="0091693F" w:rsidRDefault="0091693F" w:rsidP="00327486">
      <w:pPr>
        <w:widowControl w:val="0"/>
        <w:autoSpaceDE w:val="0"/>
        <w:autoSpaceDN w:val="0"/>
        <w:adjustRightInd w:val="0"/>
        <w:ind w:left="480" w:hanging="480"/>
        <w:jc w:val="both"/>
        <w:rPr>
          <w:noProof/>
        </w:rPr>
      </w:pPr>
      <w:r w:rsidRPr="0091693F">
        <w:rPr>
          <w:noProof/>
        </w:rPr>
        <w:t xml:space="preserve">Sarno, L., Taylor, M. P., Sarno, L., &amp; Taylor, M. P. (2020). </w:t>
      </w:r>
      <w:r w:rsidRPr="0091693F">
        <w:rPr>
          <w:i/>
          <w:iCs/>
          <w:noProof/>
        </w:rPr>
        <w:t>Official Intervention in the Foreign Exchange Market : Is It Effective and , If so , How Official Intervention in the Foreign Exchange Market : Is It Effective and , If So , How Does It Work ?</w:t>
      </w:r>
      <w:r w:rsidRPr="0091693F">
        <w:rPr>
          <w:noProof/>
        </w:rPr>
        <w:t xml:space="preserve"> </w:t>
      </w:r>
      <w:r w:rsidRPr="0091693F">
        <w:rPr>
          <w:i/>
          <w:iCs/>
          <w:noProof/>
        </w:rPr>
        <w:t>39</w:t>
      </w:r>
      <w:r w:rsidRPr="0091693F">
        <w:rPr>
          <w:noProof/>
        </w:rPr>
        <w:t xml:space="preserve">(3), </w:t>
      </w:r>
      <w:r w:rsidRPr="0091693F">
        <w:rPr>
          <w:noProof/>
        </w:rPr>
        <w:lastRenderedPageBreak/>
        <w:t>839–868.</w:t>
      </w:r>
    </w:p>
    <w:p w14:paraId="55A946F5" w14:textId="77777777" w:rsidR="0091693F" w:rsidRPr="0091693F" w:rsidRDefault="0091693F" w:rsidP="00327486">
      <w:pPr>
        <w:widowControl w:val="0"/>
        <w:autoSpaceDE w:val="0"/>
        <w:autoSpaceDN w:val="0"/>
        <w:adjustRightInd w:val="0"/>
        <w:ind w:left="480" w:hanging="480"/>
        <w:jc w:val="both"/>
        <w:rPr>
          <w:noProof/>
        </w:rPr>
      </w:pPr>
      <w:r w:rsidRPr="0091693F">
        <w:rPr>
          <w:noProof/>
        </w:rPr>
        <w:t xml:space="preserve">Schumpeter, J. A., &amp; Keynes, J. M. (1936). The General Theory of Employment, Interest and Money. </w:t>
      </w:r>
      <w:r w:rsidRPr="0091693F">
        <w:rPr>
          <w:i/>
          <w:iCs/>
          <w:noProof/>
        </w:rPr>
        <w:t>Journal of the American Statistical Association</w:t>
      </w:r>
      <w:r w:rsidRPr="0091693F">
        <w:rPr>
          <w:noProof/>
        </w:rPr>
        <w:t xml:space="preserve">, </w:t>
      </w:r>
      <w:r w:rsidRPr="0091693F">
        <w:rPr>
          <w:i/>
          <w:iCs/>
          <w:noProof/>
        </w:rPr>
        <w:t>31</w:t>
      </w:r>
      <w:r w:rsidRPr="0091693F">
        <w:rPr>
          <w:noProof/>
        </w:rPr>
        <w:t>(196), 791. https://doi.org/10.2307/2278703</w:t>
      </w:r>
    </w:p>
    <w:p w14:paraId="5A1400F1" w14:textId="77777777" w:rsidR="0091693F" w:rsidRPr="0091693F" w:rsidRDefault="0091693F" w:rsidP="00327486">
      <w:pPr>
        <w:widowControl w:val="0"/>
        <w:autoSpaceDE w:val="0"/>
        <w:autoSpaceDN w:val="0"/>
        <w:adjustRightInd w:val="0"/>
        <w:ind w:left="480" w:hanging="480"/>
        <w:jc w:val="both"/>
        <w:rPr>
          <w:noProof/>
        </w:rPr>
      </w:pPr>
      <w:r w:rsidRPr="0091693F">
        <w:rPr>
          <w:noProof/>
        </w:rPr>
        <w:t xml:space="preserve">Setyorani, B. (2018). Pengaruh nilai tukar terhadap ekspor dan jumlah uang beredar di indonesia. </w:t>
      </w:r>
      <w:r w:rsidRPr="0091693F">
        <w:rPr>
          <w:i/>
          <w:iCs/>
          <w:noProof/>
        </w:rPr>
        <w:t>Forum Ekonomi</w:t>
      </w:r>
      <w:r w:rsidRPr="0091693F">
        <w:rPr>
          <w:noProof/>
        </w:rPr>
        <w:t xml:space="preserve">, </w:t>
      </w:r>
      <w:r w:rsidRPr="0091693F">
        <w:rPr>
          <w:i/>
          <w:iCs/>
          <w:noProof/>
        </w:rPr>
        <w:t>20</w:t>
      </w:r>
      <w:r w:rsidRPr="0091693F">
        <w:rPr>
          <w:noProof/>
        </w:rPr>
        <w:t>(1), 1. https://doi.org/10.29264/jfor.v20i1.3307</w:t>
      </w:r>
    </w:p>
    <w:p w14:paraId="4C74F285" w14:textId="77777777" w:rsidR="0091693F" w:rsidRPr="0091693F" w:rsidRDefault="0091693F" w:rsidP="00327486">
      <w:pPr>
        <w:widowControl w:val="0"/>
        <w:autoSpaceDE w:val="0"/>
        <w:autoSpaceDN w:val="0"/>
        <w:adjustRightInd w:val="0"/>
        <w:ind w:left="480" w:hanging="480"/>
        <w:jc w:val="both"/>
        <w:rPr>
          <w:noProof/>
        </w:rPr>
      </w:pPr>
      <w:r w:rsidRPr="0091693F">
        <w:rPr>
          <w:noProof/>
        </w:rPr>
        <w:t xml:space="preserve">Shekhani, A. J. A. (2022). </w:t>
      </w:r>
      <w:r w:rsidRPr="0091693F">
        <w:rPr>
          <w:i/>
          <w:iCs/>
          <w:noProof/>
        </w:rPr>
        <w:t>A study on the relationship between money supply and macroeconomic variables in some selected middle eastern countries= Seçilmiş bazı orta doğu ülkeleri için para arzı ve makroekonomik değişkenler arasındaki ilişki üzerine bir çalışma</w:t>
      </w:r>
      <w:r w:rsidRPr="0091693F">
        <w:rPr>
          <w:noProof/>
        </w:rPr>
        <w:t>.</w:t>
      </w:r>
    </w:p>
    <w:p w14:paraId="3D88B168" w14:textId="77777777" w:rsidR="0091693F" w:rsidRPr="0091693F" w:rsidRDefault="0091693F" w:rsidP="00327486">
      <w:pPr>
        <w:widowControl w:val="0"/>
        <w:autoSpaceDE w:val="0"/>
        <w:autoSpaceDN w:val="0"/>
        <w:adjustRightInd w:val="0"/>
        <w:ind w:left="480" w:hanging="480"/>
        <w:jc w:val="both"/>
        <w:rPr>
          <w:noProof/>
        </w:rPr>
      </w:pPr>
      <w:r w:rsidRPr="0091693F">
        <w:rPr>
          <w:noProof/>
        </w:rPr>
        <w:t xml:space="preserve">Sieroń, A. (2019). </w:t>
      </w:r>
      <w:r w:rsidRPr="0091693F">
        <w:rPr>
          <w:i/>
          <w:iCs/>
          <w:noProof/>
        </w:rPr>
        <w:t>Money, inflation and business cycles: The Cantillon effect and the economy</w:t>
      </w:r>
      <w:r w:rsidRPr="0091693F">
        <w:rPr>
          <w:noProof/>
        </w:rPr>
        <w:t>. Routledge.</w:t>
      </w:r>
    </w:p>
    <w:p w14:paraId="400ABB7F" w14:textId="77777777" w:rsidR="0091693F" w:rsidRPr="0091693F" w:rsidRDefault="0091693F" w:rsidP="00327486">
      <w:pPr>
        <w:widowControl w:val="0"/>
        <w:autoSpaceDE w:val="0"/>
        <w:autoSpaceDN w:val="0"/>
        <w:adjustRightInd w:val="0"/>
        <w:ind w:left="480" w:hanging="480"/>
        <w:jc w:val="both"/>
        <w:rPr>
          <w:noProof/>
        </w:rPr>
      </w:pPr>
      <w:r w:rsidRPr="0091693F">
        <w:rPr>
          <w:noProof/>
        </w:rPr>
        <w:t xml:space="preserve">Thi, N., &amp; Chi, D. (2023). Impact of money supply and macroeconomic indicators on foreign portfolio investment: Evidence from Vietnam. </w:t>
      </w:r>
      <w:r w:rsidRPr="0091693F">
        <w:rPr>
          <w:i/>
          <w:iCs/>
          <w:noProof/>
        </w:rPr>
        <w:t>Banks and Bank Systems</w:t>
      </w:r>
      <w:r w:rsidRPr="0091693F">
        <w:rPr>
          <w:noProof/>
        </w:rPr>
        <w:t xml:space="preserve">, </w:t>
      </w:r>
      <w:r w:rsidRPr="0091693F">
        <w:rPr>
          <w:i/>
          <w:iCs/>
          <w:noProof/>
        </w:rPr>
        <w:t>18</w:t>
      </w:r>
      <w:r w:rsidRPr="0091693F">
        <w:rPr>
          <w:noProof/>
        </w:rPr>
        <w:t>(4), 94–104. https://doi.org/10.21511/bbs.18(4).2023.09</w:t>
      </w:r>
    </w:p>
    <w:p w14:paraId="76C7D35F" w14:textId="77777777" w:rsidR="0091693F" w:rsidRPr="0091693F" w:rsidRDefault="0091693F" w:rsidP="00327486">
      <w:pPr>
        <w:widowControl w:val="0"/>
        <w:autoSpaceDE w:val="0"/>
        <w:autoSpaceDN w:val="0"/>
        <w:adjustRightInd w:val="0"/>
        <w:ind w:left="480" w:hanging="480"/>
        <w:jc w:val="both"/>
        <w:rPr>
          <w:noProof/>
        </w:rPr>
      </w:pPr>
      <w:r w:rsidRPr="0091693F">
        <w:rPr>
          <w:noProof/>
        </w:rPr>
        <w:t xml:space="preserve">Urbanovský, T. (2017). Granger causalities between interest rate, price level, money supply and real GDP in the Czech Republic. </w:t>
      </w:r>
      <w:r w:rsidRPr="0091693F">
        <w:rPr>
          <w:i/>
          <w:iCs/>
          <w:noProof/>
        </w:rPr>
        <w:t>Acta Universitatis Agriculturae et Silviculturae Mendelianae Brunensis</w:t>
      </w:r>
      <w:r w:rsidRPr="0091693F">
        <w:rPr>
          <w:noProof/>
        </w:rPr>
        <w:t xml:space="preserve">, </w:t>
      </w:r>
      <w:r w:rsidRPr="0091693F">
        <w:rPr>
          <w:i/>
          <w:iCs/>
          <w:noProof/>
        </w:rPr>
        <w:t>65</w:t>
      </w:r>
      <w:r w:rsidRPr="0091693F">
        <w:rPr>
          <w:noProof/>
        </w:rPr>
        <w:t>(2), 745–757. https://doi.org/10.11118/actaun201765020745</w:t>
      </w:r>
    </w:p>
    <w:p w14:paraId="6B04D45A" w14:textId="77777777" w:rsidR="0091693F" w:rsidRPr="0091693F" w:rsidRDefault="0091693F" w:rsidP="00327486">
      <w:pPr>
        <w:widowControl w:val="0"/>
        <w:autoSpaceDE w:val="0"/>
        <w:autoSpaceDN w:val="0"/>
        <w:adjustRightInd w:val="0"/>
        <w:ind w:left="480" w:hanging="480"/>
        <w:jc w:val="both"/>
        <w:rPr>
          <w:noProof/>
        </w:rPr>
      </w:pPr>
      <w:r w:rsidRPr="0091693F">
        <w:rPr>
          <w:noProof/>
        </w:rPr>
        <w:t xml:space="preserve">Widayati Nufiza, A. L. Z. &amp; S. G. M. (2023). Pengaruh Pendapatan Nasional Perkapita terhadap Jumlah Uang Beredar di Indonesia. </w:t>
      </w:r>
      <w:r w:rsidRPr="0091693F">
        <w:rPr>
          <w:i/>
          <w:iCs/>
          <w:noProof/>
        </w:rPr>
        <w:t>Jurnal Ekonomi Pembangunan</w:t>
      </w:r>
      <w:r w:rsidRPr="0091693F">
        <w:rPr>
          <w:noProof/>
        </w:rPr>
        <w:t xml:space="preserve">, </w:t>
      </w:r>
      <w:r w:rsidRPr="0091693F">
        <w:rPr>
          <w:i/>
          <w:iCs/>
          <w:noProof/>
        </w:rPr>
        <w:t>4</w:t>
      </w:r>
      <w:r w:rsidRPr="0091693F">
        <w:rPr>
          <w:noProof/>
        </w:rPr>
        <w:t>(2), 121–136.</w:t>
      </w:r>
    </w:p>
    <w:p w14:paraId="33536FD1" w14:textId="77777777" w:rsidR="0091693F" w:rsidRPr="0091693F" w:rsidRDefault="0091693F" w:rsidP="00327486">
      <w:pPr>
        <w:widowControl w:val="0"/>
        <w:autoSpaceDE w:val="0"/>
        <w:autoSpaceDN w:val="0"/>
        <w:adjustRightInd w:val="0"/>
        <w:ind w:left="480" w:hanging="480"/>
        <w:jc w:val="both"/>
        <w:rPr>
          <w:noProof/>
        </w:rPr>
      </w:pPr>
      <w:r w:rsidRPr="0091693F">
        <w:rPr>
          <w:noProof/>
        </w:rPr>
        <w:t xml:space="preserve">Yang, X., &amp; Shafiq, M. N. (2020). The Impact of Foreign Direct Investment, Capital Formation, Inflation, Money Supply and Trade Openness on Economic Growth of Asian Countries. </w:t>
      </w:r>
      <w:r w:rsidRPr="0091693F">
        <w:rPr>
          <w:i/>
          <w:iCs/>
          <w:noProof/>
        </w:rPr>
        <w:t>IRASD Journal of Economics</w:t>
      </w:r>
      <w:r w:rsidRPr="0091693F">
        <w:rPr>
          <w:noProof/>
        </w:rPr>
        <w:t xml:space="preserve">, </w:t>
      </w:r>
      <w:r w:rsidRPr="0091693F">
        <w:rPr>
          <w:i/>
          <w:iCs/>
          <w:noProof/>
        </w:rPr>
        <w:t>2</w:t>
      </w:r>
      <w:r w:rsidRPr="0091693F">
        <w:rPr>
          <w:noProof/>
        </w:rPr>
        <w:t>(1), 25–34. https://doi.org/10.52131/joe.2020.0101.0013</w:t>
      </w:r>
    </w:p>
    <w:p w14:paraId="22F566CA" w14:textId="77777777" w:rsidR="0091693F" w:rsidRPr="0091693F" w:rsidRDefault="0091693F" w:rsidP="00327486">
      <w:pPr>
        <w:widowControl w:val="0"/>
        <w:autoSpaceDE w:val="0"/>
        <w:autoSpaceDN w:val="0"/>
        <w:adjustRightInd w:val="0"/>
        <w:ind w:left="480" w:hanging="480"/>
        <w:jc w:val="both"/>
        <w:rPr>
          <w:noProof/>
        </w:rPr>
      </w:pPr>
      <w:r w:rsidRPr="0091693F">
        <w:rPr>
          <w:noProof/>
        </w:rPr>
        <w:t xml:space="preserve">Young, A. (2018). </w:t>
      </w:r>
      <w:r w:rsidRPr="0091693F">
        <w:rPr>
          <w:i/>
          <w:iCs/>
          <w:noProof/>
        </w:rPr>
        <w:t>Georgia State University</w:t>
      </w:r>
      <w:r w:rsidRPr="0091693F">
        <w:rPr>
          <w:noProof/>
        </w:rPr>
        <w:t xml:space="preserve">. </w:t>
      </w:r>
      <w:r w:rsidRPr="0091693F">
        <w:rPr>
          <w:i/>
          <w:iCs/>
          <w:noProof/>
        </w:rPr>
        <w:t>March</w:t>
      </w:r>
      <w:r w:rsidRPr="0091693F">
        <w:rPr>
          <w:noProof/>
        </w:rPr>
        <w:t>, 36–45. https://doi.org/10.11647/obp.0157.05</w:t>
      </w:r>
    </w:p>
    <w:p w14:paraId="3B752043" w14:textId="77777777" w:rsidR="0091693F" w:rsidRPr="0091693F" w:rsidRDefault="0091693F" w:rsidP="00327486">
      <w:pPr>
        <w:widowControl w:val="0"/>
        <w:autoSpaceDE w:val="0"/>
        <w:autoSpaceDN w:val="0"/>
        <w:adjustRightInd w:val="0"/>
        <w:ind w:left="480" w:hanging="480"/>
        <w:jc w:val="both"/>
        <w:rPr>
          <w:noProof/>
        </w:rPr>
      </w:pPr>
      <w:r w:rsidRPr="0091693F">
        <w:rPr>
          <w:noProof/>
        </w:rPr>
        <w:t xml:space="preserve">Yuliadi, I. (2020). </w:t>
      </w:r>
      <w:r w:rsidRPr="0091693F">
        <w:rPr>
          <w:i/>
          <w:iCs/>
          <w:noProof/>
        </w:rPr>
        <w:t>An Analysis of Money Supply in Indonesia : Vector Autoregressive ( VAR ) Approach</w:t>
      </w:r>
      <w:r w:rsidRPr="0091693F">
        <w:rPr>
          <w:noProof/>
        </w:rPr>
        <w:t xml:space="preserve">. </w:t>
      </w:r>
      <w:r w:rsidRPr="0091693F">
        <w:rPr>
          <w:i/>
          <w:iCs/>
          <w:noProof/>
        </w:rPr>
        <w:t>7</w:t>
      </w:r>
      <w:r w:rsidRPr="0091693F">
        <w:rPr>
          <w:noProof/>
        </w:rPr>
        <w:t>(7), 241–249. https://doi.org/10.13106/jafeb.2020.vol7.no7.241</w:t>
      </w:r>
    </w:p>
    <w:p w14:paraId="072514A6" w14:textId="679FBAEC" w:rsidR="00B735BE" w:rsidRPr="00B735BE" w:rsidRDefault="00E87A26" w:rsidP="00327486">
      <w:pPr>
        <w:autoSpaceDE w:val="0"/>
        <w:autoSpaceDN w:val="0"/>
        <w:adjustRightInd w:val="0"/>
        <w:ind w:right="-7"/>
        <w:jc w:val="both"/>
        <w:rPr>
          <w:b/>
          <w:bCs/>
          <w:lang w:val="fi-FI"/>
        </w:rPr>
      </w:pPr>
      <w:r>
        <w:rPr>
          <w:b/>
          <w:bCs/>
          <w:lang w:val="fi-FI"/>
        </w:rPr>
        <w:fldChar w:fldCharType="end"/>
      </w:r>
    </w:p>
    <w:sectPr w:rsidR="00B735BE" w:rsidRPr="00B735BE" w:rsidSect="005B7887">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4C2AE" w14:textId="77777777" w:rsidR="004C472D" w:rsidRDefault="004C472D">
      <w:r>
        <w:separator/>
      </w:r>
    </w:p>
  </w:endnote>
  <w:endnote w:type="continuationSeparator" w:id="0">
    <w:p w14:paraId="5CCE4F77" w14:textId="77777777" w:rsidR="004C472D" w:rsidRDefault="004C4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5B225" w14:textId="77777777" w:rsidR="00DF6B96" w:rsidRDefault="00DF6B96" w:rsidP="005B78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66157">
      <w:rPr>
        <w:rStyle w:val="PageNumber"/>
        <w:noProof/>
      </w:rPr>
      <w:t>6</w:t>
    </w:r>
    <w:r>
      <w:rPr>
        <w:rStyle w:val="PageNumber"/>
      </w:rPr>
      <w:fldChar w:fldCharType="end"/>
    </w:r>
  </w:p>
  <w:p w14:paraId="3E503199" w14:textId="77777777" w:rsidR="00DF6B96" w:rsidRDefault="00DF6B96" w:rsidP="00A47E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A2653" w14:textId="77777777" w:rsidR="00DF6B96" w:rsidRDefault="00DF6B96" w:rsidP="005B78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66157">
      <w:rPr>
        <w:rStyle w:val="PageNumber"/>
        <w:noProof/>
      </w:rPr>
      <w:t>5</w:t>
    </w:r>
    <w:r>
      <w:rPr>
        <w:rStyle w:val="PageNumber"/>
      </w:rPr>
      <w:fldChar w:fldCharType="end"/>
    </w:r>
  </w:p>
  <w:p w14:paraId="788D44DF" w14:textId="77777777" w:rsidR="00DF6B96" w:rsidRDefault="00DF6B96" w:rsidP="00A47E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62817" w14:textId="77777777" w:rsidR="004C472D" w:rsidRDefault="004C472D">
      <w:r>
        <w:separator/>
      </w:r>
    </w:p>
  </w:footnote>
  <w:footnote w:type="continuationSeparator" w:id="0">
    <w:p w14:paraId="5664F26A" w14:textId="77777777" w:rsidR="004C472D" w:rsidRDefault="004C47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553779"/>
    <w:multiLevelType w:val="hybridMultilevel"/>
    <w:tmpl w:val="30989864"/>
    <w:lvl w:ilvl="0" w:tplc="0421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04210001">
      <w:start w:val="1"/>
      <w:numFmt w:val="bullet"/>
      <w:lvlText w:val=""/>
      <w:lvlJc w:val="left"/>
      <w:rPr>
        <w:rFonts w:ascii="Symbol" w:hAnsi="Symbol" w:hint="default"/>
      </w:rPr>
    </w:lvl>
    <w:lvl w:ilvl="5" w:tplc="04210001">
      <w:start w:val="1"/>
      <w:numFmt w:val="bullet"/>
      <w:lvlText w:val=""/>
      <w:lvlJc w:val="left"/>
      <w:rPr>
        <w:rFonts w:ascii="Symbol" w:hAnsi="Symbol" w:hint="default"/>
      </w:r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895CD1"/>
    <w:multiLevelType w:val="hybridMultilevel"/>
    <w:tmpl w:val="039CB43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07F72E5E"/>
    <w:multiLevelType w:val="hybridMultilevel"/>
    <w:tmpl w:val="8B20D240"/>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3" w15:restartNumberingAfterBreak="0">
    <w:nsid w:val="11E89620"/>
    <w:multiLevelType w:val="hybridMultilevel"/>
    <w:tmpl w:val="1E61EF5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2185C3D"/>
    <w:multiLevelType w:val="hybridMultilevel"/>
    <w:tmpl w:val="93222744"/>
    <w:lvl w:ilvl="0" w:tplc="F67EE9D4">
      <w:start w:val="1"/>
      <w:numFmt w:val="decimal"/>
      <w:lvlText w:val="%1."/>
      <w:lvlJc w:val="left"/>
      <w:pPr>
        <w:ind w:left="0" w:firstLine="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575AE2D"/>
    <w:multiLevelType w:val="hybridMultilevel"/>
    <w:tmpl w:val="D36DB6A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F874106"/>
    <w:multiLevelType w:val="multilevel"/>
    <w:tmpl w:val="8D80D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A7534E"/>
    <w:multiLevelType w:val="hybridMultilevel"/>
    <w:tmpl w:val="43AA3AD0"/>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8" w15:restartNumberingAfterBreak="0">
    <w:nsid w:val="35413439"/>
    <w:multiLevelType w:val="hybridMultilevel"/>
    <w:tmpl w:val="9FCE13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E72615"/>
    <w:multiLevelType w:val="multilevel"/>
    <w:tmpl w:val="66A2E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6B5B0A"/>
    <w:multiLevelType w:val="hybridMultilevel"/>
    <w:tmpl w:val="AB16F79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5BB03981"/>
    <w:multiLevelType w:val="hybridMultilevel"/>
    <w:tmpl w:val="BAF83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140DDE"/>
    <w:multiLevelType w:val="multilevel"/>
    <w:tmpl w:val="681C7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6652C9"/>
    <w:multiLevelType w:val="hybridMultilevel"/>
    <w:tmpl w:val="7A3EF9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E2524B9"/>
    <w:multiLevelType w:val="hybridMultilevel"/>
    <w:tmpl w:val="B8A293A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8"/>
  </w:num>
  <w:num w:numId="5">
    <w:abstractNumId w:val="13"/>
  </w:num>
  <w:num w:numId="6">
    <w:abstractNumId w:val="12"/>
  </w:num>
  <w:num w:numId="7">
    <w:abstractNumId w:val="4"/>
  </w:num>
  <w:num w:numId="8">
    <w:abstractNumId w:val="10"/>
  </w:num>
  <w:num w:numId="9">
    <w:abstractNumId w:val="14"/>
  </w:num>
  <w:num w:numId="10">
    <w:abstractNumId w:val="1"/>
  </w:num>
  <w:num w:numId="11">
    <w:abstractNumId w:val="7"/>
  </w:num>
  <w:num w:numId="12">
    <w:abstractNumId w:val="0"/>
  </w:num>
  <w:num w:numId="13">
    <w:abstractNumId w:val="2"/>
  </w:num>
  <w:num w:numId="14">
    <w:abstractNumId w:val="9"/>
  </w:num>
  <w:num w:numId="15">
    <w:abstractNumId w:val="6"/>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EB2"/>
    <w:rsid w:val="00004B81"/>
    <w:rsid w:val="000218B7"/>
    <w:rsid w:val="00047C09"/>
    <w:rsid w:val="000810C4"/>
    <w:rsid w:val="000A60D0"/>
    <w:rsid w:val="000B0DD8"/>
    <w:rsid w:val="000B2AB4"/>
    <w:rsid w:val="000B6ADF"/>
    <w:rsid w:val="000F65AD"/>
    <w:rsid w:val="001158AB"/>
    <w:rsid w:val="00121B0A"/>
    <w:rsid w:val="0014209F"/>
    <w:rsid w:val="0015099D"/>
    <w:rsid w:val="001560B9"/>
    <w:rsid w:val="00162B57"/>
    <w:rsid w:val="0016403B"/>
    <w:rsid w:val="00172D15"/>
    <w:rsid w:val="00191B4D"/>
    <w:rsid w:val="001A5BA3"/>
    <w:rsid w:val="001C18A4"/>
    <w:rsid w:val="001C1F6A"/>
    <w:rsid w:val="001C6A10"/>
    <w:rsid w:val="001F00F6"/>
    <w:rsid w:val="0020428C"/>
    <w:rsid w:val="00223543"/>
    <w:rsid w:val="0023052E"/>
    <w:rsid w:val="00230607"/>
    <w:rsid w:val="00241BB6"/>
    <w:rsid w:val="002432C3"/>
    <w:rsid w:val="00260A61"/>
    <w:rsid w:val="00264803"/>
    <w:rsid w:val="00267A27"/>
    <w:rsid w:val="00267D40"/>
    <w:rsid w:val="00272BEA"/>
    <w:rsid w:val="002746E4"/>
    <w:rsid w:val="00286309"/>
    <w:rsid w:val="002905F5"/>
    <w:rsid w:val="00292D15"/>
    <w:rsid w:val="00295EE6"/>
    <w:rsid w:val="002A7247"/>
    <w:rsid w:val="002B36F8"/>
    <w:rsid w:val="002B50C1"/>
    <w:rsid w:val="002D04F3"/>
    <w:rsid w:val="002D2825"/>
    <w:rsid w:val="002D2E6D"/>
    <w:rsid w:val="002D7769"/>
    <w:rsid w:val="002E5A41"/>
    <w:rsid w:val="002F20FF"/>
    <w:rsid w:val="00303729"/>
    <w:rsid w:val="00315E26"/>
    <w:rsid w:val="00320A20"/>
    <w:rsid w:val="00327432"/>
    <w:rsid w:val="00327486"/>
    <w:rsid w:val="00331765"/>
    <w:rsid w:val="00345325"/>
    <w:rsid w:val="003453FC"/>
    <w:rsid w:val="00365992"/>
    <w:rsid w:val="0036649B"/>
    <w:rsid w:val="00366D1B"/>
    <w:rsid w:val="00385573"/>
    <w:rsid w:val="003C64FA"/>
    <w:rsid w:val="003D18B3"/>
    <w:rsid w:val="003D2811"/>
    <w:rsid w:val="003D3017"/>
    <w:rsid w:val="003F63AB"/>
    <w:rsid w:val="0040064B"/>
    <w:rsid w:val="00414C3A"/>
    <w:rsid w:val="00423388"/>
    <w:rsid w:val="00432332"/>
    <w:rsid w:val="00470B79"/>
    <w:rsid w:val="0047408E"/>
    <w:rsid w:val="00477138"/>
    <w:rsid w:val="004A225E"/>
    <w:rsid w:val="004B4D0B"/>
    <w:rsid w:val="004C472D"/>
    <w:rsid w:val="004D1EB5"/>
    <w:rsid w:val="004E16DC"/>
    <w:rsid w:val="004F0303"/>
    <w:rsid w:val="005056C2"/>
    <w:rsid w:val="00510356"/>
    <w:rsid w:val="005405B4"/>
    <w:rsid w:val="00540DA7"/>
    <w:rsid w:val="00551675"/>
    <w:rsid w:val="00554714"/>
    <w:rsid w:val="00570B13"/>
    <w:rsid w:val="00572683"/>
    <w:rsid w:val="00573EA6"/>
    <w:rsid w:val="00574345"/>
    <w:rsid w:val="00574F80"/>
    <w:rsid w:val="005829C2"/>
    <w:rsid w:val="0058356F"/>
    <w:rsid w:val="00583CF1"/>
    <w:rsid w:val="00595914"/>
    <w:rsid w:val="005B2B99"/>
    <w:rsid w:val="005B7887"/>
    <w:rsid w:val="005D2CA7"/>
    <w:rsid w:val="005E2C04"/>
    <w:rsid w:val="005F6C62"/>
    <w:rsid w:val="006038F9"/>
    <w:rsid w:val="006348FD"/>
    <w:rsid w:val="00636993"/>
    <w:rsid w:val="00636A26"/>
    <w:rsid w:val="00642ECC"/>
    <w:rsid w:val="0066512A"/>
    <w:rsid w:val="00665679"/>
    <w:rsid w:val="00667D9B"/>
    <w:rsid w:val="0067718B"/>
    <w:rsid w:val="00685CBD"/>
    <w:rsid w:val="00697823"/>
    <w:rsid w:val="006A4747"/>
    <w:rsid w:val="006C0E3E"/>
    <w:rsid w:val="006E4EB2"/>
    <w:rsid w:val="006F57C5"/>
    <w:rsid w:val="007030B1"/>
    <w:rsid w:val="0070354E"/>
    <w:rsid w:val="00715C22"/>
    <w:rsid w:val="00760606"/>
    <w:rsid w:val="0076136F"/>
    <w:rsid w:val="007635D3"/>
    <w:rsid w:val="00763AE3"/>
    <w:rsid w:val="007752DE"/>
    <w:rsid w:val="0078105D"/>
    <w:rsid w:val="00782AF7"/>
    <w:rsid w:val="007863F9"/>
    <w:rsid w:val="007A62B4"/>
    <w:rsid w:val="007B17F3"/>
    <w:rsid w:val="007B427E"/>
    <w:rsid w:val="007C203D"/>
    <w:rsid w:val="007C3DC5"/>
    <w:rsid w:val="007C6ADD"/>
    <w:rsid w:val="007D0AE7"/>
    <w:rsid w:val="007D3889"/>
    <w:rsid w:val="007D517E"/>
    <w:rsid w:val="007E257D"/>
    <w:rsid w:val="007F0063"/>
    <w:rsid w:val="00816EC7"/>
    <w:rsid w:val="00826574"/>
    <w:rsid w:val="00837B9E"/>
    <w:rsid w:val="008615BD"/>
    <w:rsid w:val="0087470A"/>
    <w:rsid w:val="008777E7"/>
    <w:rsid w:val="008A345C"/>
    <w:rsid w:val="008B2BE9"/>
    <w:rsid w:val="008C6D57"/>
    <w:rsid w:val="009121E2"/>
    <w:rsid w:val="0091693F"/>
    <w:rsid w:val="009169F2"/>
    <w:rsid w:val="00920101"/>
    <w:rsid w:val="009270A7"/>
    <w:rsid w:val="00927657"/>
    <w:rsid w:val="00934907"/>
    <w:rsid w:val="009434CD"/>
    <w:rsid w:val="00961641"/>
    <w:rsid w:val="00970D91"/>
    <w:rsid w:val="00973B69"/>
    <w:rsid w:val="009741F5"/>
    <w:rsid w:val="0099500A"/>
    <w:rsid w:val="009A11FC"/>
    <w:rsid w:val="009D27D9"/>
    <w:rsid w:val="009D4AFE"/>
    <w:rsid w:val="009E2809"/>
    <w:rsid w:val="009E60E9"/>
    <w:rsid w:val="009F093E"/>
    <w:rsid w:val="009F1BA2"/>
    <w:rsid w:val="00A0032A"/>
    <w:rsid w:val="00A10AFE"/>
    <w:rsid w:val="00A14EFA"/>
    <w:rsid w:val="00A36C16"/>
    <w:rsid w:val="00A47EB2"/>
    <w:rsid w:val="00A76A9B"/>
    <w:rsid w:val="00A9613F"/>
    <w:rsid w:val="00AB5F84"/>
    <w:rsid w:val="00AD2C58"/>
    <w:rsid w:val="00B13764"/>
    <w:rsid w:val="00B24AA6"/>
    <w:rsid w:val="00B3102C"/>
    <w:rsid w:val="00B32CBC"/>
    <w:rsid w:val="00B434BE"/>
    <w:rsid w:val="00B66157"/>
    <w:rsid w:val="00B673F9"/>
    <w:rsid w:val="00B735BE"/>
    <w:rsid w:val="00B74084"/>
    <w:rsid w:val="00B80E26"/>
    <w:rsid w:val="00B944F5"/>
    <w:rsid w:val="00B94717"/>
    <w:rsid w:val="00B96A5E"/>
    <w:rsid w:val="00BA4ED9"/>
    <w:rsid w:val="00BB1B6C"/>
    <w:rsid w:val="00BD7467"/>
    <w:rsid w:val="00BD7A27"/>
    <w:rsid w:val="00C0790E"/>
    <w:rsid w:val="00C2184C"/>
    <w:rsid w:val="00C52B91"/>
    <w:rsid w:val="00C72F27"/>
    <w:rsid w:val="00C75075"/>
    <w:rsid w:val="00C80943"/>
    <w:rsid w:val="00C81C4D"/>
    <w:rsid w:val="00C84B9F"/>
    <w:rsid w:val="00C945A6"/>
    <w:rsid w:val="00CA24A6"/>
    <w:rsid w:val="00CA3B84"/>
    <w:rsid w:val="00CA53BE"/>
    <w:rsid w:val="00CB2374"/>
    <w:rsid w:val="00CC3A58"/>
    <w:rsid w:val="00CE7F2C"/>
    <w:rsid w:val="00D347ED"/>
    <w:rsid w:val="00D36D9C"/>
    <w:rsid w:val="00D3718A"/>
    <w:rsid w:val="00D77E0E"/>
    <w:rsid w:val="00D8233D"/>
    <w:rsid w:val="00D92789"/>
    <w:rsid w:val="00D957C8"/>
    <w:rsid w:val="00D96107"/>
    <w:rsid w:val="00D96EE0"/>
    <w:rsid w:val="00DA09AC"/>
    <w:rsid w:val="00DA3E9F"/>
    <w:rsid w:val="00DD5B91"/>
    <w:rsid w:val="00DE30C9"/>
    <w:rsid w:val="00DE4743"/>
    <w:rsid w:val="00DE7C34"/>
    <w:rsid w:val="00DF6B96"/>
    <w:rsid w:val="00E07BB6"/>
    <w:rsid w:val="00E321AE"/>
    <w:rsid w:val="00E66447"/>
    <w:rsid w:val="00E74AFB"/>
    <w:rsid w:val="00E87A26"/>
    <w:rsid w:val="00E969CA"/>
    <w:rsid w:val="00E9716B"/>
    <w:rsid w:val="00EA5D02"/>
    <w:rsid w:val="00EB1B57"/>
    <w:rsid w:val="00EC59D2"/>
    <w:rsid w:val="00ED0824"/>
    <w:rsid w:val="00EE064D"/>
    <w:rsid w:val="00EE3FB5"/>
    <w:rsid w:val="00EF5F10"/>
    <w:rsid w:val="00F0524A"/>
    <w:rsid w:val="00F05EAA"/>
    <w:rsid w:val="00F139E9"/>
    <w:rsid w:val="00F2372D"/>
    <w:rsid w:val="00F315CC"/>
    <w:rsid w:val="00F34365"/>
    <w:rsid w:val="00F34CFF"/>
    <w:rsid w:val="00F66779"/>
    <w:rsid w:val="00F66E62"/>
    <w:rsid w:val="00F922B6"/>
    <w:rsid w:val="00F942AC"/>
    <w:rsid w:val="00FA033D"/>
    <w:rsid w:val="00FA457C"/>
    <w:rsid w:val="00FC0AC3"/>
    <w:rsid w:val="00FC366D"/>
    <w:rsid w:val="00FC65A7"/>
    <w:rsid w:val="00FD478A"/>
    <w:rsid w:val="00FE0080"/>
    <w:rsid w:val="00FE1EE8"/>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230F64"/>
  <w15:docId w15:val="{ADCABFF0-BDA6-544C-A3A6-E73077BB3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47EB2"/>
    <w:pPr>
      <w:autoSpaceDE w:val="0"/>
      <w:autoSpaceDN w:val="0"/>
      <w:adjustRightInd w:val="0"/>
    </w:pPr>
    <w:rPr>
      <w:color w:val="000000"/>
      <w:sz w:val="24"/>
      <w:szCs w:val="24"/>
      <w:lang w:val="en-US" w:eastAsia="en-US"/>
    </w:rPr>
  </w:style>
  <w:style w:type="paragraph" w:styleId="Footer">
    <w:name w:val="footer"/>
    <w:basedOn w:val="Normal"/>
    <w:rsid w:val="00A47EB2"/>
    <w:pPr>
      <w:tabs>
        <w:tab w:val="center" w:pos="4320"/>
        <w:tab w:val="right" w:pos="8640"/>
      </w:tabs>
    </w:pPr>
  </w:style>
  <w:style w:type="character" w:styleId="PageNumber">
    <w:name w:val="page number"/>
    <w:basedOn w:val="DefaultParagraphFont"/>
    <w:rsid w:val="00A47EB2"/>
  </w:style>
  <w:style w:type="character" w:styleId="Hyperlink">
    <w:name w:val="Hyperlink"/>
    <w:rsid w:val="00573EA6"/>
    <w:rPr>
      <w:color w:val="0000FF"/>
      <w:u w:val="single"/>
    </w:rPr>
  </w:style>
  <w:style w:type="paragraph" w:styleId="ListParagraph">
    <w:name w:val="List Paragraph"/>
    <w:basedOn w:val="Normal"/>
    <w:uiPriority w:val="34"/>
    <w:qFormat/>
    <w:rsid w:val="00477138"/>
    <w:pPr>
      <w:ind w:left="720"/>
    </w:pPr>
  </w:style>
  <w:style w:type="character" w:styleId="Emphasis">
    <w:name w:val="Emphasis"/>
    <w:uiPriority w:val="20"/>
    <w:qFormat/>
    <w:rsid w:val="007A62B4"/>
    <w:rPr>
      <w:i/>
      <w:iCs/>
    </w:rPr>
  </w:style>
  <w:style w:type="character" w:customStyle="1" w:styleId="UnresolvedMention1">
    <w:name w:val="Unresolved Mention1"/>
    <w:uiPriority w:val="99"/>
    <w:semiHidden/>
    <w:unhideWhenUsed/>
    <w:rsid w:val="00667D9B"/>
    <w:rPr>
      <w:color w:val="605E5C"/>
      <w:shd w:val="clear" w:color="auto" w:fill="E1DFDD"/>
    </w:rPr>
  </w:style>
  <w:style w:type="character" w:styleId="FollowedHyperlink">
    <w:name w:val="FollowedHyperlink"/>
    <w:basedOn w:val="DefaultParagraphFont"/>
    <w:rsid w:val="009E60E9"/>
    <w:rPr>
      <w:color w:val="800080"/>
      <w:u w:val="single"/>
    </w:rPr>
  </w:style>
  <w:style w:type="paragraph" w:styleId="BalloonText">
    <w:name w:val="Balloon Text"/>
    <w:basedOn w:val="Normal"/>
    <w:link w:val="BalloonTextChar"/>
    <w:rsid w:val="00121B0A"/>
    <w:rPr>
      <w:rFonts w:ascii="Lucida Grande" w:hAnsi="Lucida Grande" w:cs="Lucida Grande"/>
      <w:sz w:val="18"/>
      <w:szCs w:val="18"/>
    </w:rPr>
  </w:style>
  <w:style w:type="character" w:customStyle="1" w:styleId="BalloonTextChar">
    <w:name w:val="Balloon Text Char"/>
    <w:basedOn w:val="DefaultParagraphFont"/>
    <w:link w:val="BalloonText"/>
    <w:rsid w:val="00121B0A"/>
    <w:rPr>
      <w:rFonts w:ascii="Lucida Grande" w:hAnsi="Lucida Grande" w:cs="Lucida Grande"/>
      <w:sz w:val="18"/>
      <w:szCs w:val="18"/>
      <w:lang w:val="en-US" w:eastAsia="en-US"/>
    </w:rPr>
  </w:style>
  <w:style w:type="character" w:styleId="UnresolvedMention">
    <w:name w:val="Unresolved Mention"/>
    <w:basedOn w:val="DefaultParagraphFont"/>
    <w:uiPriority w:val="99"/>
    <w:semiHidden/>
    <w:unhideWhenUsed/>
    <w:rsid w:val="00572683"/>
    <w:rPr>
      <w:color w:val="605E5C"/>
      <w:shd w:val="clear" w:color="auto" w:fill="E1DFDD"/>
    </w:rPr>
  </w:style>
  <w:style w:type="table" w:styleId="TableGrid">
    <w:name w:val="Table Grid"/>
    <w:basedOn w:val="TableNormal"/>
    <w:uiPriority w:val="39"/>
    <w:rsid w:val="00C945A6"/>
    <w:rPr>
      <w:rFonts w:asciiTheme="minorHAnsi" w:eastAsiaTheme="minorHAnsi" w:hAnsiTheme="minorHAnsi" w:cstheme="minorBidi"/>
      <w:kern w:val="2"/>
      <w:sz w:val="22"/>
      <w:szCs w:val="22"/>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78891">
      <w:bodyDiv w:val="1"/>
      <w:marLeft w:val="0"/>
      <w:marRight w:val="0"/>
      <w:marTop w:val="0"/>
      <w:marBottom w:val="0"/>
      <w:divBdr>
        <w:top w:val="none" w:sz="0" w:space="0" w:color="auto"/>
        <w:left w:val="none" w:sz="0" w:space="0" w:color="auto"/>
        <w:bottom w:val="none" w:sz="0" w:space="0" w:color="auto"/>
        <w:right w:val="none" w:sz="0" w:space="0" w:color="auto"/>
      </w:divBdr>
    </w:div>
    <w:div w:id="121385184">
      <w:bodyDiv w:val="1"/>
      <w:marLeft w:val="0"/>
      <w:marRight w:val="0"/>
      <w:marTop w:val="0"/>
      <w:marBottom w:val="0"/>
      <w:divBdr>
        <w:top w:val="none" w:sz="0" w:space="0" w:color="auto"/>
        <w:left w:val="none" w:sz="0" w:space="0" w:color="auto"/>
        <w:bottom w:val="none" w:sz="0" w:space="0" w:color="auto"/>
        <w:right w:val="none" w:sz="0" w:space="0" w:color="auto"/>
      </w:divBdr>
    </w:div>
    <w:div w:id="151724776">
      <w:bodyDiv w:val="1"/>
      <w:marLeft w:val="0"/>
      <w:marRight w:val="0"/>
      <w:marTop w:val="0"/>
      <w:marBottom w:val="0"/>
      <w:divBdr>
        <w:top w:val="none" w:sz="0" w:space="0" w:color="auto"/>
        <w:left w:val="none" w:sz="0" w:space="0" w:color="auto"/>
        <w:bottom w:val="none" w:sz="0" w:space="0" w:color="auto"/>
        <w:right w:val="none" w:sz="0" w:space="0" w:color="auto"/>
      </w:divBdr>
    </w:div>
    <w:div w:id="528642491">
      <w:bodyDiv w:val="1"/>
      <w:marLeft w:val="0"/>
      <w:marRight w:val="0"/>
      <w:marTop w:val="0"/>
      <w:marBottom w:val="0"/>
      <w:divBdr>
        <w:top w:val="none" w:sz="0" w:space="0" w:color="auto"/>
        <w:left w:val="none" w:sz="0" w:space="0" w:color="auto"/>
        <w:bottom w:val="none" w:sz="0" w:space="0" w:color="auto"/>
        <w:right w:val="none" w:sz="0" w:space="0" w:color="auto"/>
      </w:divBdr>
    </w:div>
    <w:div w:id="717894700">
      <w:bodyDiv w:val="1"/>
      <w:marLeft w:val="0"/>
      <w:marRight w:val="0"/>
      <w:marTop w:val="0"/>
      <w:marBottom w:val="0"/>
      <w:divBdr>
        <w:top w:val="none" w:sz="0" w:space="0" w:color="auto"/>
        <w:left w:val="none" w:sz="0" w:space="0" w:color="auto"/>
        <w:bottom w:val="none" w:sz="0" w:space="0" w:color="auto"/>
        <w:right w:val="none" w:sz="0" w:space="0" w:color="auto"/>
      </w:divBdr>
    </w:div>
    <w:div w:id="775447000">
      <w:bodyDiv w:val="1"/>
      <w:marLeft w:val="0"/>
      <w:marRight w:val="0"/>
      <w:marTop w:val="0"/>
      <w:marBottom w:val="0"/>
      <w:divBdr>
        <w:top w:val="none" w:sz="0" w:space="0" w:color="auto"/>
        <w:left w:val="none" w:sz="0" w:space="0" w:color="auto"/>
        <w:bottom w:val="none" w:sz="0" w:space="0" w:color="auto"/>
        <w:right w:val="none" w:sz="0" w:space="0" w:color="auto"/>
      </w:divBdr>
    </w:div>
    <w:div w:id="1082796674">
      <w:bodyDiv w:val="1"/>
      <w:marLeft w:val="0"/>
      <w:marRight w:val="0"/>
      <w:marTop w:val="0"/>
      <w:marBottom w:val="0"/>
      <w:divBdr>
        <w:top w:val="none" w:sz="0" w:space="0" w:color="auto"/>
        <w:left w:val="none" w:sz="0" w:space="0" w:color="auto"/>
        <w:bottom w:val="none" w:sz="0" w:space="0" w:color="auto"/>
        <w:right w:val="none" w:sz="0" w:space="0" w:color="auto"/>
      </w:divBdr>
    </w:div>
    <w:div w:id="1120143881">
      <w:bodyDiv w:val="1"/>
      <w:marLeft w:val="0"/>
      <w:marRight w:val="0"/>
      <w:marTop w:val="0"/>
      <w:marBottom w:val="0"/>
      <w:divBdr>
        <w:top w:val="none" w:sz="0" w:space="0" w:color="auto"/>
        <w:left w:val="none" w:sz="0" w:space="0" w:color="auto"/>
        <w:bottom w:val="none" w:sz="0" w:space="0" w:color="auto"/>
        <w:right w:val="none" w:sz="0" w:space="0" w:color="auto"/>
      </w:divBdr>
    </w:div>
    <w:div w:id="1163080642">
      <w:bodyDiv w:val="1"/>
      <w:marLeft w:val="0"/>
      <w:marRight w:val="0"/>
      <w:marTop w:val="0"/>
      <w:marBottom w:val="0"/>
      <w:divBdr>
        <w:top w:val="none" w:sz="0" w:space="0" w:color="auto"/>
        <w:left w:val="none" w:sz="0" w:space="0" w:color="auto"/>
        <w:bottom w:val="none" w:sz="0" w:space="0" w:color="auto"/>
        <w:right w:val="none" w:sz="0" w:space="0" w:color="auto"/>
      </w:divBdr>
    </w:div>
    <w:div w:id="1428423318">
      <w:bodyDiv w:val="1"/>
      <w:marLeft w:val="0"/>
      <w:marRight w:val="0"/>
      <w:marTop w:val="0"/>
      <w:marBottom w:val="0"/>
      <w:divBdr>
        <w:top w:val="none" w:sz="0" w:space="0" w:color="auto"/>
        <w:left w:val="none" w:sz="0" w:space="0" w:color="auto"/>
        <w:bottom w:val="none" w:sz="0" w:space="0" w:color="auto"/>
        <w:right w:val="none" w:sz="0" w:space="0" w:color="auto"/>
      </w:divBdr>
    </w:div>
    <w:div w:id="1585185253">
      <w:bodyDiv w:val="1"/>
      <w:marLeft w:val="0"/>
      <w:marRight w:val="0"/>
      <w:marTop w:val="0"/>
      <w:marBottom w:val="0"/>
      <w:divBdr>
        <w:top w:val="none" w:sz="0" w:space="0" w:color="auto"/>
        <w:left w:val="none" w:sz="0" w:space="0" w:color="auto"/>
        <w:bottom w:val="none" w:sz="0" w:space="0" w:color="auto"/>
        <w:right w:val="none" w:sz="0" w:space="0" w:color="auto"/>
      </w:divBdr>
    </w:div>
    <w:div w:id="1693923081">
      <w:bodyDiv w:val="1"/>
      <w:marLeft w:val="0"/>
      <w:marRight w:val="0"/>
      <w:marTop w:val="0"/>
      <w:marBottom w:val="0"/>
      <w:divBdr>
        <w:top w:val="none" w:sz="0" w:space="0" w:color="auto"/>
        <w:left w:val="none" w:sz="0" w:space="0" w:color="auto"/>
        <w:bottom w:val="none" w:sz="0" w:space="0" w:color="auto"/>
        <w:right w:val="none" w:sz="0" w:space="0" w:color="auto"/>
      </w:divBdr>
    </w:div>
    <w:div w:id="1906336472">
      <w:bodyDiv w:val="1"/>
      <w:marLeft w:val="0"/>
      <w:marRight w:val="0"/>
      <w:marTop w:val="0"/>
      <w:marBottom w:val="0"/>
      <w:divBdr>
        <w:top w:val="none" w:sz="0" w:space="0" w:color="auto"/>
        <w:left w:val="none" w:sz="0" w:space="0" w:color="auto"/>
        <w:bottom w:val="none" w:sz="0" w:space="0" w:color="auto"/>
        <w:right w:val="none" w:sz="0" w:space="0" w:color="auto"/>
      </w:divBdr>
    </w:div>
    <w:div w:id="1915355826">
      <w:bodyDiv w:val="1"/>
      <w:marLeft w:val="0"/>
      <w:marRight w:val="0"/>
      <w:marTop w:val="0"/>
      <w:marBottom w:val="0"/>
      <w:divBdr>
        <w:top w:val="none" w:sz="0" w:space="0" w:color="auto"/>
        <w:left w:val="none" w:sz="0" w:space="0" w:color="auto"/>
        <w:bottom w:val="none" w:sz="0" w:space="0" w:color="auto"/>
        <w:right w:val="none" w:sz="0" w:space="0" w:color="auto"/>
      </w:divBdr>
    </w:div>
    <w:div w:id="201715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1nesharizkyashari16@gmail.com" TargetMode="Externa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sharizkyashari16@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3akhsyim@uii.ac.id" TargetMode="External"/><Relationship Id="rId4" Type="http://schemas.openxmlformats.org/officeDocument/2006/relationships/settings" Target="settings.xml"/><Relationship Id="rId9" Type="http://schemas.openxmlformats.org/officeDocument/2006/relationships/hyperlink" Target="mailto:2riskaqtp@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59876-F5ED-4833-B747-93213A2B2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21</Pages>
  <Words>9236</Words>
  <Characters>50720</Characters>
  <Application>Microsoft Office Word</Application>
  <DocSecurity>0</DocSecurity>
  <Lines>1124</Lines>
  <Paragraphs>479</Paragraphs>
  <ScaleCrop>false</ScaleCrop>
  <HeadingPairs>
    <vt:vector size="2" baseType="variant">
      <vt:variant>
        <vt:lpstr>Title</vt:lpstr>
      </vt:variant>
      <vt:variant>
        <vt:i4>1</vt:i4>
      </vt:variant>
    </vt:vector>
  </HeadingPairs>
  <TitlesOfParts>
    <vt:vector size="1" baseType="lpstr">
      <vt:lpstr>JUDUL</vt:lpstr>
    </vt:vector>
  </TitlesOfParts>
  <Company>Gunadarma</Company>
  <LinksUpToDate>false</LinksUpToDate>
  <CharactersWithSpaces>59543</CharactersWithSpaces>
  <SharedDoc>false</SharedDoc>
  <HLinks>
    <vt:vector size="24" baseType="variant">
      <vt:variant>
        <vt:i4>3670075</vt:i4>
      </vt:variant>
      <vt:variant>
        <vt:i4>9</vt:i4>
      </vt:variant>
      <vt:variant>
        <vt:i4>0</vt:i4>
      </vt:variant>
      <vt:variant>
        <vt:i4>5</vt:i4>
      </vt:variant>
      <vt:variant>
        <vt:lpwstr>https://www.cnbc.com/2019/07/01/companies-are-warning-that-earnings-results-are-going-to-be-brutal.html</vt:lpwstr>
      </vt:variant>
      <vt:variant>
        <vt:lpwstr/>
      </vt:variant>
      <vt:variant>
        <vt:i4>2687049</vt:i4>
      </vt:variant>
      <vt:variant>
        <vt:i4>6</vt:i4>
      </vt:variant>
      <vt:variant>
        <vt:i4>0</vt:i4>
      </vt:variant>
      <vt:variant>
        <vt:i4>5</vt:i4>
      </vt:variant>
      <vt:variant>
        <vt:lpwstr>mailto:3budi@gmail.com</vt:lpwstr>
      </vt:variant>
      <vt:variant>
        <vt:lpwstr/>
      </vt:variant>
      <vt:variant>
        <vt:i4>5046313</vt:i4>
      </vt:variant>
      <vt:variant>
        <vt:i4>3</vt:i4>
      </vt:variant>
      <vt:variant>
        <vt:i4>0</vt:i4>
      </vt:variant>
      <vt:variant>
        <vt:i4>5</vt:i4>
      </vt:variant>
      <vt:variant>
        <vt:lpwstr>mailto:2wahyu@gmail.com</vt:lpwstr>
      </vt:variant>
      <vt:variant>
        <vt:lpwstr/>
      </vt:variant>
      <vt:variant>
        <vt:i4>2818127</vt:i4>
      </vt:variant>
      <vt:variant>
        <vt:i4>0</vt:i4>
      </vt:variant>
      <vt:variant>
        <vt:i4>0</vt:i4>
      </vt:variant>
      <vt:variant>
        <vt:i4>5</vt:i4>
      </vt:variant>
      <vt:variant>
        <vt:lpwstr>mailto:1tety@gmail.com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dc:title>
  <dc:subject/>
  <dc:creator>PHK-A3</dc:creator>
  <cp:keywords/>
  <dc:description/>
  <cp:lastModifiedBy>User</cp:lastModifiedBy>
  <cp:revision>13</cp:revision>
  <dcterms:created xsi:type="dcterms:W3CDTF">2024-06-19T03:17:00Z</dcterms:created>
  <dcterms:modified xsi:type="dcterms:W3CDTF">2024-06-19T08:00:00Z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b711f2c3975bcfdf084f8487d94ca871df061232287ec75b13d2268da7c8ac40</vt:lpwstr>
  </property>
  <property fmtid="{D5CDD505-2E9C-101B-9397-08002B2CF9AE}" pid="3" name="Mendeley Document_1">
    <vt:lpwstr>True</vt:lpwstr>
  </property>
  <property fmtid="{D5CDD505-2E9C-101B-9397-08002B2CF9AE}" pid="4" name="Mendeley Unique User Id_1">
    <vt:lpwstr>864c723d-4781-395a-99fe-0870b4a61dae</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